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FF89A" w14:textId="77777777" w:rsidR="00C17BD1" w:rsidRPr="00A86113" w:rsidRDefault="00C17BD1" w:rsidP="007A5FBB">
      <w:pPr>
        <w:rPr>
          <w:rFonts w:ascii="Times New Roman" w:hAnsi="Times New Roman" w:cs="Times New Roman"/>
          <w:lang w:val="sr-Latn-RS"/>
        </w:rPr>
      </w:pPr>
    </w:p>
    <w:p w14:paraId="0880FEF8" w14:textId="77777777" w:rsidR="00C17BD1" w:rsidRPr="006A380F" w:rsidRDefault="00C17BD1" w:rsidP="00C17BD1">
      <w:pPr>
        <w:pStyle w:val="ListParagraph"/>
        <w:jc w:val="center"/>
        <w:rPr>
          <w:rFonts w:ascii="Times New Roman" w:hAnsi="Times New Roman" w:cs="Times New Roman"/>
        </w:rPr>
      </w:pPr>
    </w:p>
    <w:p w14:paraId="57C22D75" w14:textId="77777777" w:rsidR="00C17BD1" w:rsidRPr="006A380F" w:rsidRDefault="00C17BD1" w:rsidP="002272A0">
      <w:pPr>
        <w:rPr>
          <w:rFonts w:ascii="Times New Roman" w:hAnsi="Times New Roman" w:cs="Times New Roman"/>
        </w:rPr>
      </w:pPr>
    </w:p>
    <w:p w14:paraId="4F56D8A4" w14:textId="77777777" w:rsidR="00C17BD1" w:rsidRPr="00082BF8" w:rsidRDefault="00C17BD1" w:rsidP="00B255C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14:paraId="51C1DE13" w14:textId="77777777" w:rsidR="00A3734C" w:rsidRPr="00082BF8" w:rsidRDefault="006932C5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 xml:space="preserve"> </w:t>
      </w:r>
      <w:r w:rsidR="00346E1B" w:rsidRPr="00082BF8">
        <w:rPr>
          <w:rFonts w:ascii="Times New Roman" w:eastAsia="Calibri" w:hAnsi="Times New Roman" w:cs="Times New Roman"/>
          <w:b/>
          <w:sz w:val="32"/>
        </w:rPr>
        <w:t>Guideline for</w:t>
      </w:r>
    </w:p>
    <w:p w14:paraId="15715838" w14:textId="77777777" w:rsidR="00A3734C" w:rsidRPr="00082BF8" w:rsidRDefault="00346E1B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 xml:space="preserve">Call for Proposals for Sub-Grant Scheme </w:t>
      </w:r>
    </w:p>
    <w:p w14:paraId="3852239A" w14:textId="77777777" w:rsidR="00A3734C" w:rsidRPr="00082BF8" w:rsidRDefault="00346E1B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Center</w:t>
      </w:r>
      <w:r w:rsidR="00A3734C" w:rsidRPr="00082BF8">
        <w:rPr>
          <w:rFonts w:ascii="Times New Roman" w:eastAsia="Calibri" w:hAnsi="Times New Roman" w:cs="Times New Roman"/>
          <w:b/>
          <w:sz w:val="32"/>
        </w:rPr>
        <w:t xml:space="preserve"> </w:t>
      </w:r>
      <w:r w:rsidRPr="00082BF8">
        <w:rPr>
          <w:rFonts w:ascii="Times New Roman" w:eastAsia="Calibri" w:hAnsi="Times New Roman" w:cs="Times New Roman"/>
          <w:b/>
          <w:sz w:val="32"/>
        </w:rPr>
        <w:t>for Professional Education - Partesh</w:t>
      </w:r>
    </w:p>
    <w:p w14:paraId="422C9AD2" w14:textId="77777777" w:rsidR="00346E1B" w:rsidRPr="00082BF8" w:rsidRDefault="00346E1B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An EU funded project managed by European Union Office in Kosovo</w:t>
      </w:r>
    </w:p>
    <w:p w14:paraId="443C35E4" w14:textId="77777777" w:rsidR="00346E1B" w:rsidRPr="00082BF8" w:rsidRDefault="00346E1B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Deadline for submission of applications:</w:t>
      </w:r>
    </w:p>
    <w:p w14:paraId="54EC503B" w14:textId="77777777" w:rsidR="00A3734C" w:rsidRPr="00082BF8" w:rsidRDefault="00082BF8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15.04</w:t>
      </w:r>
      <w:r w:rsidR="00A3734C" w:rsidRPr="00082BF8">
        <w:rPr>
          <w:rFonts w:ascii="Times New Roman" w:eastAsia="Calibri" w:hAnsi="Times New Roman" w:cs="Times New Roman"/>
          <w:b/>
          <w:sz w:val="32"/>
        </w:rPr>
        <w:t>.202</w:t>
      </w:r>
      <w:r w:rsidRPr="00082BF8">
        <w:rPr>
          <w:rFonts w:ascii="Times New Roman" w:eastAsia="Calibri" w:hAnsi="Times New Roman" w:cs="Times New Roman"/>
          <w:b/>
          <w:sz w:val="32"/>
        </w:rPr>
        <w:t>2</w:t>
      </w:r>
      <w:r w:rsidR="00A3734C" w:rsidRPr="00082BF8">
        <w:rPr>
          <w:rFonts w:ascii="Times New Roman" w:eastAsia="Calibri" w:hAnsi="Times New Roman" w:cs="Times New Roman"/>
          <w:b/>
          <w:sz w:val="32"/>
        </w:rPr>
        <w:t>, 16:00</w:t>
      </w:r>
    </w:p>
    <w:p w14:paraId="08CED090" w14:textId="77777777" w:rsidR="00A3734C" w:rsidRDefault="00A3734C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123D1B9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6315C87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EB79B55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24CEED96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17D67F0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30930DD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2A45D7D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76A337A8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6E9B3186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2C7DE6F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8AD32CC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7829A39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8633594" w14:textId="77777777" w:rsidR="00A3734C" w:rsidRPr="00A3734C" w:rsidRDefault="00A3734C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10B436F" w14:textId="77777777" w:rsidR="00346E1B" w:rsidRPr="00082BF8" w:rsidRDefault="008F5553" w:rsidP="00B255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</w:rPr>
      </w:pPr>
      <w:r w:rsidRPr="00082BF8">
        <w:rPr>
          <w:rFonts w:ascii="Times New Roman" w:eastAsia="Calibri" w:hAnsi="Times New Roman" w:cs="Times New Roman"/>
          <w:b/>
          <w:sz w:val="28"/>
        </w:rPr>
        <w:t>B</w:t>
      </w:r>
      <w:r w:rsidR="00346E1B" w:rsidRPr="00082BF8">
        <w:rPr>
          <w:rFonts w:ascii="Times New Roman" w:eastAsia="Calibri" w:hAnsi="Times New Roman" w:cs="Times New Roman"/>
          <w:b/>
          <w:sz w:val="28"/>
        </w:rPr>
        <w:t>ACKGROUND DESCRIPTION OF ACTIVITY</w:t>
      </w:r>
    </w:p>
    <w:p w14:paraId="3826DCE8" w14:textId="731D441F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This call for proposal</w:t>
      </w:r>
      <w:r w:rsidR="00A50C8D">
        <w:rPr>
          <w:rFonts w:ascii="Times New Roman" w:eastAsia="Calibri" w:hAnsi="Times New Roman" w:cs="Times New Roman"/>
          <w:sz w:val="24"/>
          <w:szCs w:val="24"/>
        </w:rPr>
        <w:t>s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for sub-grants is launched as part of the project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4D3" w:rsidRPr="00082BF8">
        <w:rPr>
          <w:rFonts w:ascii="Times New Roman" w:eastAsia="Calibri" w:hAnsi="Times New Roman" w:cs="Times New Roman"/>
          <w:sz w:val="24"/>
          <w:szCs w:val="24"/>
        </w:rPr>
        <w:t>“</w:t>
      </w:r>
      <w:r w:rsidRPr="00082BF8">
        <w:rPr>
          <w:rFonts w:ascii="Times New Roman" w:eastAsia="Calibri" w:hAnsi="Times New Roman" w:cs="Times New Roman"/>
          <w:sz w:val="24"/>
          <w:szCs w:val="24"/>
        </w:rPr>
        <w:t>Center for professional Education - Partesh</w:t>
      </w:r>
      <w:r w:rsidR="00D114D3" w:rsidRPr="00082BF8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082BF8">
        <w:rPr>
          <w:rFonts w:ascii="Times New Roman" w:eastAsia="Times New Roman" w:hAnsi="Times New Roman" w:cs="Times New Roman"/>
          <w:sz w:val="24"/>
          <w:szCs w:val="24"/>
        </w:rPr>
        <w:t xml:space="preserve">financed by the European Union and implemented by the Municipality of Partesh </w:t>
      </w:r>
      <w:r w:rsidR="00A50C8D">
        <w:rPr>
          <w:rFonts w:ascii="Times New Roman" w:eastAsia="Times New Roman" w:hAnsi="Times New Roman" w:cs="Times New Roman"/>
          <w:sz w:val="24"/>
          <w:szCs w:val="24"/>
        </w:rPr>
        <w:t>in partnership with the</w:t>
      </w:r>
      <w:r w:rsidR="00A50C8D" w:rsidRPr="0008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BF8">
        <w:rPr>
          <w:rFonts w:ascii="Times New Roman" w:eastAsia="Times New Roman" w:hAnsi="Times New Roman" w:cs="Times New Roman"/>
          <w:sz w:val="24"/>
          <w:szCs w:val="24"/>
        </w:rPr>
        <w:t>Regional Development Agency – East.</w:t>
      </w:r>
    </w:p>
    <w:p w14:paraId="45F5731E" w14:textId="44CB4250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 project started in </w:t>
      </w:r>
      <w:r w:rsidR="00A50C8D">
        <w:rPr>
          <w:rFonts w:ascii="Times New Roman" w:eastAsia="Calibri" w:hAnsi="Times New Roman" w:cs="Times New Roman"/>
          <w:sz w:val="24"/>
          <w:szCs w:val="24"/>
        </w:rPr>
        <w:t>late October</w:t>
      </w:r>
      <w:r w:rsidR="00A50C8D"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2020 and will last 24 months. </w:t>
      </w:r>
      <w:r w:rsidR="00F07442" w:rsidRPr="00082BF8">
        <w:rPr>
          <w:rFonts w:ascii="Times New Roman" w:eastAsia="Calibri" w:hAnsi="Times New Roman" w:cs="Times New Roman"/>
          <w:sz w:val="24"/>
          <w:szCs w:val="24"/>
        </w:rPr>
        <w:t>General goal of the project "Center for Professional Education - Partesh"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is creating opportunities for training, capacity building, as well as creating new jobs for young people and women from the East Economic Region.</w:t>
      </w:r>
    </w:p>
    <w:p w14:paraId="744E20A2" w14:textId="77777777" w:rsidR="009F3C65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project has the following specific objectives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:</w:t>
      </w:r>
      <w:r w:rsidR="009F3C65"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46E5C7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Providing opportunities for young people and women from rural areas for personal development by attending courses offered by the program;</w:t>
      </w:r>
    </w:p>
    <w:p w14:paraId="5EE9F81B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Providing opportunities for young people and women for their first work experiences, but also starting their own business;</w:t>
      </w:r>
    </w:p>
    <w:p w14:paraId="50E0048A" w14:textId="284EBE5C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Improving existing businesses and providing interactive information services</w:t>
      </w:r>
      <w:r w:rsidR="00A50C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1B0F14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Increasing young people's awareness of gender issues and providing equal opportunities for the advancement of women in business.</w:t>
      </w:r>
    </w:p>
    <w:p w14:paraId="521E5026" w14:textId="3E8FF80D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50C8D">
        <w:rPr>
          <w:rFonts w:ascii="Times New Roman" w:eastAsia="Calibri" w:hAnsi="Times New Roman" w:cs="Times New Roman"/>
          <w:sz w:val="24"/>
          <w:szCs w:val="24"/>
        </w:rPr>
        <w:t>scope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of this call for proposal </w:t>
      </w:r>
      <w:r w:rsidR="00A50C8D">
        <w:rPr>
          <w:rFonts w:ascii="Times New Roman" w:eastAsia="Calibri" w:hAnsi="Times New Roman" w:cs="Times New Roman"/>
          <w:sz w:val="24"/>
          <w:szCs w:val="24"/>
        </w:rPr>
        <w:t>is</w:t>
      </w:r>
      <w:r w:rsidRPr="00082B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F5B27F" w14:textId="342BE550" w:rsidR="00A3734C" w:rsidRPr="00082BF8" w:rsidRDefault="00346E1B" w:rsidP="00A86113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Creating opportunities for employment of youth and women and lowering unemployment rate</w:t>
      </w:r>
      <w:r w:rsidR="00A50C8D">
        <w:rPr>
          <w:rFonts w:ascii="Times New Roman" w:eastAsia="Calibri" w:hAnsi="Times New Roman" w:cs="Times New Roman"/>
          <w:sz w:val="24"/>
          <w:szCs w:val="24"/>
        </w:rPr>
        <w:t xml:space="preserve"> and</w:t>
      </w:r>
    </w:p>
    <w:p w14:paraId="3FCD932B" w14:textId="77777777" w:rsidR="00A3734C" w:rsidRPr="00082BF8" w:rsidRDefault="00346E1B" w:rsidP="00A86113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BF8">
        <w:rPr>
          <w:rFonts w:ascii="Times New Roman" w:hAnsi="Times New Roman" w:cs="Times New Roman"/>
          <w:color w:val="000000" w:themeColor="text1"/>
          <w:sz w:val="24"/>
          <w:szCs w:val="24"/>
        </w:rPr>
        <w:t>Supporting the expansion of the businesses.</w:t>
      </w:r>
    </w:p>
    <w:p w14:paraId="4C93BB27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 initiatives supported by the Sub-Grant Scheme are expected to focus, in particular to the need of the constituent base at business level, within the following fields: </w:t>
      </w:r>
    </w:p>
    <w:p w14:paraId="5A7F9B89" w14:textId="77777777" w:rsidR="00A3734C" w:rsidRPr="00082BF8" w:rsidRDefault="00346E1B" w:rsidP="00A86113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Service </w:t>
      </w:r>
    </w:p>
    <w:p w14:paraId="6C7EC4D6" w14:textId="77777777" w:rsidR="00A3734C" w:rsidRPr="00082BF8" w:rsidRDefault="009F3C65" w:rsidP="00A86113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duction</w:t>
      </w:r>
      <w:r w:rsidRPr="00082B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523F6D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This Call for Proposal will be divided into two Lots as follows: </w:t>
      </w:r>
    </w:p>
    <w:p w14:paraId="2C5811D7" w14:textId="6C85C056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Lot 1- New Business Projects (start- up enterprises) with an indicative </w:t>
      </w:r>
      <w:r w:rsidR="00A50C8D">
        <w:rPr>
          <w:rFonts w:ascii="Times New Roman" w:eastAsia="Calibri" w:hAnsi="Times New Roman" w:cs="Times New Roman"/>
          <w:sz w:val="24"/>
          <w:szCs w:val="24"/>
        </w:rPr>
        <w:t xml:space="preserve">total </w:t>
      </w:r>
      <w:r w:rsidRPr="00082BF8">
        <w:rPr>
          <w:rFonts w:ascii="Times New Roman" w:eastAsia="Calibri" w:hAnsi="Times New Roman" w:cs="Times New Roman"/>
          <w:sz w:val="24"/>
          <w:szCs w:val="24"/>
        </w:rPr>
        <w:t>budget of EUR 80,000</w:t>
      </w:r>
    </w:p>
    <w:p w14:paraId="49B12565" w14:textId="1308F8B2" w:rsidR="00332E95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Lot 2- Existing </w:t>
      </w:r>
      <w:r w:rsidR="008F5553" w:rsidRPr="00082BF8">
        <w:rPr>
          <w:rFonts w:ascii="Times New Roman" w:eastAsia="Calibri" w:hAnsi="Times New Roman" w:cs="Times New Roman"/>
          <w:sz w:val="24"/>
          <w:szCs w:val="24"/>
        </w:rPr>
        <w:t>Enterprises (enterprises under 4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years) with an indicative </w:t>
      </w:r>
      <w:r w:rsidR="00A50C8D">
        <w:rPr>
          <w:rFonts w:ascii="Times New Roman" w:eastAsia="Calibri" w:hAnsi="Times New Roman" w:cs="Times New Roman"/>
          <w:sz w:val="24"/>
          <w:szCs w:val="24"/>
        </w:rPr>
        <w:t xml:space="preserve">total </w:t>
      </w:r>
      <w:r w:rsidRPr="00082BF8">
        <w:rPr>
          <w:rFonts w:ascii="Times New Roman" w:eastAsia="Calibri" w:hAnsi="Times New Roman" w:cs="Times New Roman"/>
          <w:sz w:val="24"/>
          <w:szCs w:val="24"/>
        </w:rPr>
        <w:t>budget of EUR 50,000</w:t>
      </w:r>
    </w:p>
    <w:p w14:paraId="2BF467B0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A962A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FB130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D2F71" w14:textId="77777777" w:rsidR="00346E1B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lastRenderedPageBreak/>
        <w:br/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Size of sub-grants requested must fall between the following minimum and maximum amounts: </w:t>
      </w:r>
    </w:p>
    <w:p w14:paraId="0AF1D3F3" w14:textId="3A1544C1" w:rsidR="00A3734C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LOT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New business project (start-up </w:t>
      </w:r>
      <w:r w:rsidR="008F5553" w:rsidRPr="00082BF8">
        <w:rPr>
          <w:rFonts w:ascii="Times New Roman" w:eastAsia="Calibri" w:hAnsi="Times New Roman" w:cs="Times New Roman"/>
          <w:b/>
          <w:sz w:val="24"/>
          <w:szCs w:val="24"/>
        </w:rPr>
        <w:t>enterprises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) – the </w:t>
      </w:r>
      <w:r w:rsidR="00A50C8D">
        <w:rPr>
          <w:rFonts w:ascii="Times New Roman" w:eastAsia="Calibri" w:hAnsi="Times New Roman" w:cs="Times New Roman"/>
          <w:b/>
          <w:sz w:val="24"/>
          <w:szCs w:val="24"/>
        </w:rPr>
        <w:t xml:space="preserve">grant 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>amount per project proposal varies from 2,000 EUR up to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4.000 EUR.</w:t>
      </w:r>
    </w:p>
    <w:p w14:paraId="7A5CD935" w14:textId="4054D54B" w:rsidR="00A3734C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LOT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2-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Existing enterprises (</w:t>
      </w:r>
      <w:r w:rsidR="008F5553" w:rsidRPr="00082BF8">
        <w:rPr>
          <w:rFonts w:ascii="Times New Roman" w:eastAsia="Calibri" w:hAnsi="Times New Roman" w:cs="Times New Roman"/>
          <w:b/>
          <w:sz w:val="24"/>
          <w:szCs w:val="24"/>
        </w:rPr>
        <w:t>enterprises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, under 4 years) the </w:t>
      </w:r>
      <w:r w:rsidR="00A50C8D">
        <w:rPr>
          <w:rFonts w:ascii="Times New Roman" w:eastAsia="Calibri" w:hAnsi="Times New Roman" w:cs="Times New Roman"/>
          <w:b/>
          <w:sz w:val="24"/>
          <w:szCs w:val="24"/>
        </w:rPr>
        <w:t xml:space="preserve">grant 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amount per project proposal varies </w:t>
      </w:r>
      <w:proofErr w:type="gramStart"/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from 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5.000</w:t>
      </w:r>
      <w:proofErr w:type="gramEnd"/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EUR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>up to</w:t>
      </w:r>
      <w:r w:rsidR="00A3734C"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 10.000 EUR.</w:t>
      </w:r>
    </w:p>
    <w:p w14:paraId="5705AE7A" w14:textId="7D6841F2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2BF8">
        <w:rPr>
          <w:rFonts w:ascii="Times New Roman" w:eastAsia="Calibri" w:hAnsi="Times New Roman" w:cs="Times New Roman"/>
          <w:i/>
          <w:sz w:val="24"/>
          <w:szCs w:val="24"/>
        </w:rPr>
        <w:t>Note</w:t>
      </w:r>
      <w:r w:rsidR="008C6B63" w:rsidRPr="00082BF8">
        <w:rPr>
          <w:rFonts w:ascii="Times New Roman" w:eastAsia="Calibri" w:hAnsi="Times New Roman" w:cs="Times New Roman"/>
          <w:i/>
          <w:sz w:val="24"/>
          <w:szCs w:val="24"/>
        </w:rPr>
        <w:t xml:space="preserve">*: </w:t>
      </w:r>
      <w:r w:rsidR="008C6B63" w:rsidRPr="00082BF8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082BF8">
        <w:rPr>
          <w:rFonts w:ascii="Times New Roman" w:eastAsia="Calibri" w:hAnsi="Times New Roman" w:cs="Times New Roman"/>
          <w:i/>
          <w:sz w:val="24"/>
          <w:szCs w:val="24"/>
        </w:rPr>
        <w:t>For applicants in LOT2, the percentage of co-financing of applicants s</w:t>
      </w:r>
      <w:r w:rsidR="00A50C8D">
        <w:rPr>
          <w:rFonts w:ascii="Times New Roman" w:eastAsia="Calibri" w:hAnsi="Times New Roman" w:cs="Times New Roman"/>
          <w:i/>
          <w:sz w:val="24"/>
          <w:szCs w:val="24"/>
        </w:rPr>
        <w:t xml:space="preserve">hall be not lower </w:t>
      </w:r>
      <w:proofErr w:type="spellStart"/>
      <w:r w:rsidR="00A50C8D">
        <w:rPr>
          <w:rFonts w:ascii="Times New Roman" w:eastAsia="Calibri" w:hAnsi="Times New Roman" w:cs="Times New Roman"/>
          <w:i/>
          <w:sz w:val="24"/>
          <w:szCs w:val="24"/>
        </w:rPr>
        <w:t>then</w:t>
      </w:r>
      <w:proofErr w:type="spellEnd"/>
      <w:r w:rsidR="00A50C8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82BF8"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="008F5553" w:rsidRPr="00082BF8">
        <w:rPr>
          <w:rFonts w:ascii="Times New Roman" w:eastAsia="Calibri" w:hAnsi="Times New Roman" w:cs="Times New Roman"/>
          <w:i/>
          <w:sz w:val="24"/>
          <w:szCs w:val="24"/>
        </w:rPr>
        <w:t>%</w:t>
      </w:r>
      <w:r w:rsidR="00A50C8D">
        <w:rPr>
          <w:rFonts w:ascii="Times New Roman" w:eastAsia="Calibri" w:hAnsi="Times New Roman" w:cs="Times New Roman"/>
          <w:i/>
          <w:sz w:val="24"/>
          <w:szCs w:val="24"/>
        </w:rPr>
        <w:t xml:space="preserve"> of the total </w:t>
      </w:r>
      <w:r w:rsidR="00553E53">
        <w:rPr>
          <w:rFonts w:ascii="Times New Roman" w:eastAsia="Calibri" w:hAnsi="Times New Roman" w:cs="Times New Roman"/>
          <w:i/>
          <w:sz w:val="24"/>
          <w:szCs w:val="24"/>
        </w:rPr>
        <w:t>budget required for the action</w:t>
      </w:r>
      <w:r w:rsidR="008F5553" w:rsidRPr="00082B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00371A3" w14:textId="23B6EB62" w:rsidR="008C6B63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 application deadline is </w:t>
      </w:r>
      <w:r w:rsidR="00082BF8" w:rsidRPr="00082BF8">
        <w:rPr>
          <w:rFonts w:ascii="Times New Roman" w:eastAsia="Calibri" w:hAnsi="Times New Roman" w:cs="Times New Roman"/>
          <w:sz w:val="24"/>
          <w:szCs w:val="24"/>
        </w:rPr>
        <w:t>April 15</w:t>
      </w:r>
      <w:r w:rsidRPr="00082BF8">
        <w:rPr>
          <w:rFonts w:ascii="Times New Roman" w:eastAsia="Calibri" w:hAnsi="Times New Roman" w:cs="Times New Roman"/>
          <w:sz w:val="24"/>
          <w:szCs w:val="24"/>
        </w:rPr>
        <w:t>, 202</w:t>
      </w:r>
      <w:r w:rsidR="00082BF8" w:rsidRPr="00082BF8">
        <w:rPr>
          <w:rFonts w:ascii="Times New Roman" w:eastAsia="Calibri" w:hAnsi="Times New Roman" w:cs="Times New Roman"/>
          <w:sz w:val="24"/>
          <w:szCs w:val="24"/>
        </w:rPr>
        <w:t>2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E53">
        <w:rPr>
          <w:rFonts w:ascii="Times New Roman" w:eastAsia="Calibri" w:hAnsi="Times New Roman" w:cs="Times New Roman"/>
          <w:sz w:val="24"/>
          <w:szCs w:val="24"/>
        </w:rPr>
        <w:t>at</w:t>
      </w:r>
      <w:r w:rsidR="00553E53"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BF8">
        <w:rPr>
          <w:rFonts w:ascii="Times New Roman" w:eastAsia="Calibri" w:hAnsi="Times New Roman" w:cs="Times New Roman"/>
          <w:sz w:val="24"/>
          <w:szCs w:val="24"/>
        </w:rPr>
        <w:t>4:00 pm.</w:t>
      </w:r>
    </w:p>
    <w:p w14:paraId="6F2B4298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082BF8">
        <w:rPr>
          <w:rFonts w:ascii="Times New Roman" w:eastAsia="Calibri" w:hAnsi="Times New Roman" w:cs="Times New Roman"/>
          <w:b/>
          <w:sz w:val="28"/>
        </w:rPr>
        <w:t xml:space="preserve">ELIGIBILITY </w:t>
      </w:r>
    </w:p>
    <w:p w14:paraId="69A6ACE3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82BF8">
        <w:rPr>
          <w:rFonts w:ascii="Times New Roman" w:eastAsia="Calibri" w:hAnsi="Times New Roman" w:cs="Times New Roman"/>
          <w:sz w:val="24"/>
        </w:rPr>
        <w:t xml:space="preserve">Eligibility for Applicants </w:t>
      </w:r>
    </w:p>
    <w:p w14:paraId="3A43816B" w14:textId="77777777" w:rsidR="00A3734C" w:rsidRPr="00A86113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113">
        <w:rPr>
          <w:rFonts w:ascii="Times New Roman" w:eastAsia="Calibri" w:hAnsi="Times New Roman" w:cs="Times New Roman"/>
          <w:sz w:val="24"/>
          <w:szCs w:val="24"/>
        </w:rPr>
        <w:t>Applicants must fulfill the following criteria</w:t>
      </w:r>
      <w:r w:rsidR="00A3734C" w:rsidRPr="00A8611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484B218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1</w:t>
      </w:r>
    </w:p>
    <w:p w14:paraId="41B0FB37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legally represented by a citizen of Kosovo;</w:t>
      </w:r>
    </w:p>
    <w:p w14:paraId="3DA2452C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legally establishing the business in Kosovo prior to signing the Sub-Grant Contract and/or is registered as a business for the activities envisaged by the proposed action at the time of receiving the grant;</w:t>
      </w:r>
    </w:p>
    <w:p w14:paraId="15447ACF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directly responsible for the preparation and management of the action;</w:t>
      </w:r>
    </w:p>
    <w:p w14:paraId="7F281829" w14:textId="77777777" w:rsidR="00A86113" w:rsidRPr="00A86113" w:rsidRDefault="00A86113" w:rsidP="00A86113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Applicants are resident of the East Economic Region of Kosovo</w:t>
      </w:r>
    </w:p>
    <w:p w14:paraId="4033C93E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possesses sufficient labor force for activities;</w:t>
      </w:r>
    </w:p>
    <w:p w14:paraId="1DBC1C2D" w14:textId="77777777" w:rsidR="00A86113" w:rsidRPr="00A86113" w:rsidRDefault="00A86113" w:rsidP="00A86113">
      <w:pPr>
        <w:pStyle w:val="NoSpacing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Advantage will have applicants who are unemployed youth under 30 years old, applicants from remote rural areas and women.</w:t>
      </w:r>
    </w:p>
    <w:p w14:paraId="5491BD38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14E322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2</w:t>
      </w:r>
    </w:p>
    <w:p w14:paraId="1A5A8EBB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legally represented by a citizen of Kosovo;</w:t>
      </w:r>
    </w:p>
    <w:p w14:paraId="1F226DAF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Written proof that the applying business has no obligation registered in TAK;</w:t>
      </w:r>
    </w:p>
    <w:p w14:paraId="06D68C93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directly responsible for the preparation and management of the action;</w:t>
      </w:r>
    </w:p>
    <w:p w14:paraId="6FDB8724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applicant is 100% privately owned micro or small enterprise registered in Kosovo;</w:t>
      </w:r>
    </w:p>
    <w:p w14:paraId="53DC6291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applying business is promptly registered for the activities envisaged by the action proposed at the time of receipt of the sub-grant;</w:t>
      </w:r>
    </w:p>
    <w:p w14:paraId="48BE437F" w14:textId="77777777" w:rsidR="00A86113" w:rsidRPr="00A86113" w:rsidRDefault="00A86113" w:rsidP="00A86113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The applying business is located in the East Economic Region of Kosovo;</w:t>
      </w:r>
    </w:p>
    <w:p w14:paraId="46302B6A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applying business possesses sufficient labor force for activities; </w:t>
      </w:r>
    </w:p>
    <w:p w14:paraId="40FE57E7" w14:textId="77777777" w:rsidR="00A86113" w:rsidRPr="00A86113" w:rsidRDefault="00A86113" w:rsidP="00A861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Advantage will have women and youth owed businesses. </w:t>
      </w:r>
    </w:p>
    <w:p w14:paraId="0B193EE6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82BF8">
        <w:rPr>
          <w:rFonts w:ascii="Times New Roman" w:eastAsia="Calibri" w:hAnsi="Times New Roman" w:cs="Times New Roman"/>
          <w:b/>
          <w:sz w:val="24"/>
        </w:rPr>
        <w:lastRenderedPageBreak/>
        <w:t>The following categories are NOT eligible for this call:</w:t>
      </w:r>
    </w:p>
    <w:p w14:paraId="628EC1BD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Potential applicants are excluded from the call for proposal if they fall under any of the below mentioned criteria:</w:t>
      </w:r>
    </w:p>
    <w:p w14:paraId="322D3E66" w14:textId="2C06D7B1" w:rsidR="00553E53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More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one application in this respective call is registered in the name of an applicant;</w:t>
      </w:r>
    </w:p>
    <w:p w14:paraId="19AB54BE" w14:textId="4318C189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Applicantis</w:t>
      </w:r>
      <w:proofErr w:type="spellEnd"/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bankrupt or being wound up, are having affair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administered by the courts, </w:t>
      </w:r>
      <w:r w:rsidRPr="00082BF8">
        <w:rPr>
          <w:rFonts w:ascii="Times New Roman" w:eastAsia="Calibri" w:hAnsi="Times New Roman" w:cs="Times New Roman"/>
          <w:sz w:val="24"/>
          <w:szCs w:val="24"/>
        </w:rPr>
        <w:t>ha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entered into an arrangement with creditors, </w:t>
      </w:r>
      <w:r w:rsidRPr="00082BF8">
        <w:rPr>
          <w:rFonts w:ascii="Times New Roman" w:eastAsia="Calibri" w:hAnsi="Times New Roman" w:cs="Times New Roman"/>
          <w:sz w:val="24"/>
          <w:szCs w:val="24"/>
        </w:rPr>
        <w:t>ha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suspended business activities, </w:t>
      </w:r>
      <w:r>
        <w:rPr>
          <w:rFonts w:ascii="Times New Roman" w:eastAsia="Calibri" w:hAnsi="Times New Roman" w:cs="Times New Roman"/>
          <w:sz w:val="24"/>
          <w:szCs w:val="24"/>
        </w:rPr>
        <w:t>is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the subject of proceedings concerning those matters, or </w:t>
      </w:r>
      <w:r>
        <w:rPr>
          <w:rFonts w:ascii="Times New Roman" w:eastAsia="Calibri" w:hAnsi="Times New Roman" w:cs="Times New Roman"/>
          <w:sz w:val="24"/>
          <w:szCs w:val="24"/>
        </w:rPr>
        <w:t>is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in any analogous situation arising from a similar procedure provided for in national legislation or regulations;</w:t>
      </w:r>
    </w:p>
    <w:p w14:paraId="5CDEB1C6" w14:textId="350D472E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Applicant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, or person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having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power of representation, decision making or control over </w:t>
      </w:r>
      <w:r>
        <w:rPr>
          <w:rFonts w:ascii="Times New Roman" w:eastAsia="Calibri" w:hAnsi="Times New Roman" w:cs="Times New Roman"/>
          <w:sz w:val="24"/>
          <w:szCs w:val="24"/>
        </w:rPr>
        <w:t>the applicant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, ha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been convicted of an offence concerning professional conduct by a judgment of a competent authority of a Member State which has the force of res judicata; (i.e. against which no appeal is possible);</w:t>
      </w:r>
    </w:p>
    <w:p w14:paraId="6656CDF9" w14:textId="4D009BE7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Applicant is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not in compliance with obligations relating to the payment of contributions or the payment of taxes in accordance with the legal provisions of the national law. </w:t>
      </w:r>
    </w:p>
    <w:p w14:paraId="2B28A984" w14:textId="5602BE70" w:rsidR="00A3734C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applicant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, or person</w:t>
      </w:r>
      <w:r w:rsidR="00CC5F0D">
        <w:rPr>
          <w:rFonts w:ascii="Times New Roman" w:eastAsia="Calibri" w:hAnsi="Times New Roman" w:cs="Times New Roman"/>
          <w:sz w:val="24"/>
          <w:szCs w:val="24"/>
        </w:rPr>
        <w:t>(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s</w:t>
      </w:r>
      <w:r w:rsidR="00CC5F0D">
        <w:rPr>
          <w:rFonts w:ascii="Times New Roman" w:eastAsia="Calibri" w:hAnsi="Times New Roman" w:cs="Times New Roman"/>
          <w:sz w:val="24"/>
          <w:szCs w:val="24"/>
        </w:rPr>
        <w:t>)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having </w:t>
      </w:r>
      <w:r w:rsidR="00CC5F0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power of representation, decision making or control over </w:t>
      </w:r>
      <w:r w:rsidR="00CC5F0D">
        <w:rPr>
          <w:rFonts w:ascii="Times New Roman" w:eastAsia="Calibri" w:hAnsi="Times New Roman" w:cs="Times New Roman"/>
          <w:sz w:val="24"/>
          <w:szCs w:val="24"/>
        </w:rPr>
        <w:t>the applicant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, ha</w:t>
      </w:r>
      <w:r w:rsidR="00CC5F0D">
        <w:rPr>
          <w:rFonts w:ascii="Times New Roman" w:eastAsia="Calibri" w:hAnsi="Times New Roman" w:cs="Times New Roman"/>
          <w:sz w:val="24"/>
          <w:szCs w:val="24"/>
        </w:rPr>
        <w:t>s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 been the subject of a judgment which has the force of res judicata for fraud, corruption, involvement in a criminal organization, money laundering or any other illegal activity, where such an illegal activity is detrimental to the EU's financial interests;</w:t>
      </w:r>
    </w:p>
    <w:p w14:paraId="51FC018C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Eligible activities: desired actions within the scope of the project</w:t>
      </w:r>
    </w:p>
    <w:p w14:paraId="4BD43478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Scope (geographical coverage) – all actions under this call for proposals will be required to be implemented in Municipalities of East Economic Region of Kosovo.</w:t>
      </w:r>
    </w:p>
    <w:p w14:paraId="26EDCCEA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Duration – For </w:t>
      </w:r>
      <w:r w:rsidR="00082BF8">
        <w:rPr>
          <w:rFonts w:ascii="Times New Roman" w:eastAsia="Calibri" w:hAnsi="Times New Roman" w:cs="Times New Roman"/>
          <w:b/>
          <w:bCs/>
          <w:sz w:val="24"/>
          <w:szCs w:val="24"/>
        </w:rPr>
        <w:t>both</w:t>
      </w:r>
      <w:r w:rsidRPr="00082B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Lots: </w:t>
      </w:r>
    </w:p>
    <w:p w14:paraId="0BDB0760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The planned duration of an action may not exceed 6 months.</w:t>
      </w:r>
    </w:p>
    <w:p w14:paraId="6CB6A399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4"/>
          <w:szCs w:val="24"/>
        </w:rPr>
        <w:t>Eligible activities/type of actions:</w:t>
      </w:r>
    </w:p>
    <w:p w14:paraId="003F805A" w14:textId="5BBB47AD" w:rsidR="00AE6B3B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Proposals for financing should be technically and financially independent.</w:t>
      </w:r>
    </w:p>
    <w:p w14:paraId="16BF1743" w14:textId="0BB029C7" w:rsidR="00450FB7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Actions shall have tangible and visible impact on companies and employment growth, increased production capacities, improved or optimized product/service development life cycles, new product/service development and product/service diversification, new sales and distribution channels, increased sales in Kosovo or international market.</w:t>
      </w:r>
    </w:p>
    <w:p w14:paraId="3BEC1871" w14:textId="77777777" w:rsid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B9A94A" w14:textId="77777777" w:rsidR="00A86113" w:rsidRPr="00082BF8" w:rsidRDefault="00A86113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27C3E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The following types of activities are in line with the call for both lots.</w:t>
      </w:r>
    </w:p>
    <w:p w14:paraId="22154485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lastRenderedPageBreak/>
        <w:t>Project objectives are calculated as eligible expenditures and can be financed under this call for project proposals:</w:t>
      </w:r>
    </w:p>
    <w:p w14:paraId="24F26EAC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Investments into tangible assets or methods and including assets that may assist companies to be less dependent on external factors that may occur</w:t>
      </w:r>
    </w:p>
    <w:p w14:paraId="038C737C" w14:textId="77777777" w:rsidR="00450FB7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 xml:space="preserve">Eligible activities </w:t>
      </w:r>
    </w:p>
    <w:p w14:paraId="3E371BF6" w14:textId="77777777" w:rsidR="00A3734C" w:rsidRPr="00082BF8" w:rsidRDefault="00346E1B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Equipment</w:t>
      </w:r>
      <w:r w:rsidR="009046D5" w:rsidRPr="00082B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3883E2" w14:textId="77777777" w:rsidR="00A3734C" w:rsidRPr="00082BF8" w:rsidRDefault="009046D5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M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a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chinery</w:t>
      </w:r>
      <w:r w:rsidRPr="00082B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2854F0" w14:textId="77777777" w:rsidR="00A3734C" w:rsidRPr="00082BF8" w:rsidRDefault="00296F67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ro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duction line</w:t>
      </w:r>
      <w:r w:rsidR="009046D5" w:rsidRPr="00082B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4F3AE0" w14:textId="77777777" w:rsidR="00A3734C" w:rsidRPr="00082BF8" w:rsidRDefault="00296F67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S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oft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wa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r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e</w:t>
      </w:r>
      <w:r w:rsidR="009046D5" w:rsidRPr="00082B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928C5A" w14:textId="77777777" w:rsidR="00A3734C" w:rsidRPr="00082BF8" w:rsidRDefault="00346E1B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Improvement of production processes;</w:t>
      </w:r>
    </w:p>
    <w:p w14:paraId="6B1F1E87" w14:textId="77777777" w:rsidR="00A3734C" w:rsidRPr="00082BF8" w:rsidRDefault="00346E1B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Marketing activities to promote products or services;</w:t>
      </w:r>
    </w:p>
    <w:p w14:paraId="23E305F9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 xml:space="preserve">Non-Eligible activities </w:t>
      </w:r>
    </w:p>
    <w:p w14:paraId="5768EEB5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Actions concerned only or mainly with individual sponsorships for participation in workshops, seminars, conferences, etc.</w:t>
      </w:r>
    </w:p>
    <w:p w14:paraId="6F9A7A01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Actions that are directly affiliated with or supportive to political parties</w:t>
      </w:r>
    </w:p>
    <w:p w14:paraId="144779EB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Financial support to third parties (re-granting is not eligible activity under this call)</w:t>
      </w:r>
    </w:p>
    <w:p w14:paraId="151CE219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Actions which consist exclusively or primarily in capital expenditures, such as land </w:t>
      </w:r>
    </w:p>
    <w:p w14:paraId="101A95A1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 xml:space="preserve">Cost Eligibility </w:t>
      </w:r>
    </w:p>
    <w:p w14:paraId="66EAEBF8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Eligible costs are actual costs incurred by the Beneficiary, which meet all the following criteria:</w:t>
      </w:r>
    </w:p>
    <w:p w14:paraId="5D6B88EC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They are indicated in the estimated overall budget </w:t>
      </w:r>
    </w:p>
    <w:p w14:paraId="01709AEF" w14:textId="77777777" w:rsidR="00346E1B" w:rsidRPr="00082BF8" w:rsidRDefault="006605B6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 xml:space="preserve">hey are incurred in the connection with the project which is the subject of the sub-grant and are necessary for the implementation of the action </w:t>
      </w:r>
    </w:p>
    <w:p w14:paraId="57F46417" w14:textId="77777777" w:rsidR="00082BF8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They are reasonable, justified and comply with the requirements of sound financial management, particularly in reg</w:t>
      </w:r>
      <w:r w:rsidR="00082BF8">
        <w:rPr>
          <w:rFonts w:ascii="Times New Roman" w:eastAsia="Calibri" w:hAnsi="Times New Roman" w:cs="Times New Roman"/>
          <w:sz w:val="24"/>
          <w:szCs w:val="24"/>
        </w:rPr>
        <w:t>ards with economy and efficient.</w:t>
      </w:r>
    </w:p>
    <w:p w14:paraId="55B0B912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8D05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E5E0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AB952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432CB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D4B79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51D81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98858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097C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DC4275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E31B5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5D73A" w14:textId="77777777" w:rsidR="00082BF8" w:rsidRP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EAA2E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 xml:space="preserve">Ineligible Costs </w:t>
      </w:r>
    </w:p>
    <w:p w14:paraId="5AE385F2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The following costs are not eligible:</w:t>
      </w:r>
    </w:p>
    <w:p w14:paraId="659669A8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Debt and debt service charges (interest)</w:t>
      </w:r>
    </w:p>
    <w:p w14:paraId="56603C94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Provisions for losses or potential future liabilities</w:t>
      </w:r>
    </w:p>
    <w:p w14:paraId="4500DED8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Purchases of land or buildings</w:t>
      </w:r>
    </w:p>
    <w:p w14:paraId="4D71DF95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Purchase of vehicles</w:t>
      </w:r>
    </w:p>
    <w:p w14:paraId="249B2C2D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Taxes, including value added taxes (VAT)</w:t>
      </w:r>
    </w:p>
    <w:p w14:paraId="6FFA740A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Costs declared by the beneficiary and covered by another action or work </w:t>
      </w:r>
      <w:proofErr w:type="spellStart"/>
      <w:r w:rsidRPr="00082BF8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14:paraId="76429E96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Credits to third parties</w:t>
      </w:r>
    </w:p>
    <w:p w14:paraId="74CAE38A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Sponsorship for participation in conferences within Kosovo or abroad</w:t>
      </w:r>
    </w:p>
    <w:p w14:paraId="26881980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Costs related existing activities, initiatives or items that are usually part of the central or local government funding</w:t>
      </w:r>
    </w:p>
    <w:p w14:paraId="4E46FA6C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APLICATION PROCEDURS</w:t>
      </w:r>
    </w:p>
    <w:p w14:paraId="1401E08C" w14:textId="225790FE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The application phase is </w:t>
      </w:r>
      <w:r w:rsidR="008F5553" w:rsidRPr="00082BF8">
        <w:rPr>
          <w:rFonts w:ascii="Times New Roman" w:eastAsia="Calibri" w:hAnsi="Times New Roman" w:cs="Times New Roman"/>
          <w:sz w:val="24"/>
          <w:szCs w:val="24"/>
        </w:rPr>
        <w:t xml:space="preserve">open for the public from </w:t>
      </w:r>
      <w:r w:rsidR="00082BF8">
        <w:rPr>
          <w:rFonts w:ascii="Times New Roman" w:eastAsia="Calibri" w:hAnsi="Times New Roman" w:cs="Times New Roman"/>
          <w:sz w:val="24"/>
          <w:szCs w:val="24"/>
        </w:rPr>
        <w:t>Monday</w:t>
      </w:r>
      <w:r w:rsidR="008F5553"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BF8">
        <w:rPr>
          <w:rFonts w:ascii="Times New Roman" w:eastAsia="Calibri" w:hAnsi="Times New Roman" w:cs="Times New Roman"/>
          <w:sz w:val="24"/>
          <w:szCs w:val="24"/>
        </w:rPr>
        <w:t>1</w:t>
      </w:r>
      <w:r w:rsidR="00556A7C">
        <w:rPr>
          <w:rFonts w:ascii="Times New Roman" w:eastAsia="Calibri" w:hAnsi="Times New Roman" w:cs="Times New Roman"/>
          <w:sz w:val="24"/>
          <w:szCs w:val="24"/>
        </w:rPr>
        <w:t>5</w:t>
      </w:r>
      <w:r w:rsidRPr="00082BF8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082BF8">
        <w:rPr>
          <w:rFonts w:ascii="Times New Roman" w:eastAsia="Calibri" w:hAnsi="Times New Roman" w:cs="Times New Roman"/>
          <w:sz w:val="24"/>
          <w:szCs w:val="24"/>
        </w:rPr>
        <w:t xml:space="preserve"> March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082BF8">
        <w:rPr>
          <w:rFonts w:ascii="Times New Roman" w:eastAsia="Calibri" w:hAnsi="Times New Roman" w:cs="Times New Roman"/>
          <w:sz w:val="24"/>
          <w:szCs w:val="24"/>
        </w:rPr>
        <w:t>2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until </w:t>
      </w:r>
      <w:r w:rsidR="00082BF8">
        <w:rPr>
          <w:rFonts w:ascii="Times New Roman" w:eastAsia="Calibri" w:hAnsi="Times New Roman" w:cs="Times New Roman"/>
          <w:sz w:val="24"/>
          <w:szCs w:val="24"/>
        </w:rPr>
        <w:t>Friday 15</w:t>
      </w:r>
      <w:r w:rsidR="003A59C2" w:rsidRPr="00A8611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3A59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BF8">
        <w:rPr>
          <w:rFonts w:ascii="Times New Roman" w:eastAsia="Calibri" w:hAnsi="Times New Roman" w:cs="Times New Roman"/>
          <w:sz w:val="24"/>
          <w:szCs w:val="24"/>
        </w:rPr>
        <w:t>April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BF8">
        <w:rPr>
          <w:rFonts w:ascii="Times New Roman" w:eastAsia="Calibri" w:hAnsi="Times New Roman" w:cs="Times New Roman"/>
          <w:sz w:val="24"/>
          <w:szCs w:val="24"/>
        </w:rPr>
        <w:t>until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16:00</w:t>
      </w:r>
      <w:r w:rsidR="00433B19" w:rsidRPr="00082B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101023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Application Package to be submitted includes the following documents:</w:t>
      </w:r>
    </w:p>
    <w:p w14:paraId="2E47C7D0" w14:textId="77777777" w:rsidR="00346E1B" w:rsidRPr="00082BF8" w:rsidRDefault="00346E1B" w:rsidP="00A8611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82BF8">
        <w:rPr>
          <w:rFonts w:ascii="Times New Roman" w:hAnsi="Times New Roman" w:cs="Times New Roman"/>
          <w:b/>
          <w:sz w:val="28"/>
          <w:szCs w:val="24"/>
        </w:rPr>
        <w:t>LOT 1</w:t>
      </w:r>
    </w:p>
    <w:p w14:paraId="12C939C7" w14:textId="77777777" w:rsidR="00A3734C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Application Form</w:t>
      </w:r>
    </w:p>
    <w:p w14:paraId="4CBA3825" w14:textId="77777777" w:rsidR="00346E1B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Budget Form</w:t>
      </w:r>
    </w:p>
    <w:p w14:paraId="1F08CDC4" w14:textId="77777777" w:rsidR="00346E1B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ID</w:t>
      </w:r>
    </w:p>
    <w:p w14:paraId="2FCAA861" w14:textId="77777777" w:rsidR="00DA4C72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Declaration</w:t>
      </w:r>
    </w:p>
    <w:p w14:paraId="0CAA525B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Business Certificate will be submitted after registering the business and prior to signing the contract!</w:t>
      </w:r>
    </w:p>
    <w:p w14:paraId="7D261A9D" w14:textId="77777777" w:rsidR="00A3734C" w:rsidRPr="00082BF8" w:rsidRDefault="00DA4C72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LOT</w:t>
      </w:r>
      <w:r w:rsidR="00A3734C" w:rsidRPr="00082BF8">
        <w:rPr>
          <w:rFonts w:ascii="Times New Roman" w:eastAsia="Calibri" w:hAnsi="Times New Roman" w:cs="Times New Roman"/>
          <w:b/>
          <w:sz w:val="28"/>
          <w:szCs w:val="24"/>
        </w:rPr>
        <w:t xml:space="preserve"> 2</w:t>
      </w:r>
    </w:p>
    <w:p w14:paraId="39D7E3A9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Application Form </w:t>
      </w:r>
    </w:p>
    <w:p w14:paraId="2A459028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Budget Form </w:t>
      </w:r>
    </w:p>
    <w:p w14:paraId="49B80621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Business Certificate </w:t>
      </w:r>
    </w:p>
    <w:p w14:paraId="33CFF149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list of business’s assets</w:t>
      </w:r>
    </w:p>
    <w:p w14:paraId="4B685A6E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Tax Verification of settled debts ( no older than three months)</w:t>
      </w:r>
    </w:p>
    <w:p w14:paraId="7D6210CA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Confirmation of Business’ Bank Account</w:t>
      </w:r>
    </w:p>
    <w:p w14:paraId="74F1E2AD" w14:textId="13A56A5F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Business Plan Confirmation or CRK from BQK that the business does not have any bad credit</w:t>
      </w:r>
    </w:p>
    <w:p w14:paraId="7E91F01E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Certificate from the Court on the non-conviction of the legal representative of the company.</w:t>
      </w:r>
    </w:p>
    <w:p w14:paraId="3FB5B70B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application procedure is available in two forms:</w:t>
      </w:r>
    </w:p>
    <w:p w14:paraId="393BFC7C" w14:textId="6854B3E5" w:rsidR="00346E1B" w:rsidRDefault="00346E1B" w:rsidP="00A861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BF8">
        <w:rPr>
          <w:rFonts w:ascii="Times New Roman" w:hAnsi="Times New Roman" w:cs="Times New Roman"/>
          <w:sz w:val="24"/>
          <w:szCs w:val="24"/>
        </w:rPr>
        <w:lastRenderedPageBreak/>
        <w:t xml:space="preserve">Downloading the application forms from the project website </w:t>
      </w:r>
      <w:hyperlink r:id="rId8" w:history="1">
        <w:r w:rsidR="00556A7C" w:rsidRPr="001F1AFE">
          <w:rPr>
            <w:rStyle w:val="Hyperlink"/>
            <w:rFonts w:ascii="Times New Roman" w:hAnsi="Times New Roman" w:cs="Times New Roman"/>
            <w:sz w:val="24"/>
            <w:szCs w:val="24"/>
          </w:rPr>
          <w:t>https://kk.rks-gov.net/partesh/sr/category/konkursi-i-objavljivanja/</w:t>
        </w:r>
      </w:hyperlink>
    </w:p>
    <w:p w14:paraId="4D51F292" w14:textId="4F134612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Submitted applications MUST be sent by e-mail to </w:t>
      </w:r>
      <w:hyperlink r:id="rId9" w:history="1">
        <w:r w:rsidRPr="00082BF8">
          <w:rPr>
            <w:rStyle w:val="Hyperlink"/>
            <w:rFonts w:ascii="Times New Roman" w:hAnsi="Times New Roman" w:cs="Times New Roman"/>
            <w:sz w:val="24"/>
            <w:szCs w:val="24"/>
          </w:rPr>
          <w:t>centerforprofesionaleducation@gmail.com</w:t>
        </w:r>
      </w:hyperlink>
      <w:r w:rsidRPr="00082BF8">
        <w:rPr>
          <w:rFonts w:ascii="Times New Roman" w:hAnsi="Times New Roman" w:cs="Times New Roman"/>
          <w:sz w:val="24"/>
          <w:szCs w:val="24"/>
        </w:rPr>
        <w:t xml:space="preserve"> or delivered in person to the following address: </w:t>
      </w:r>
      <w:r w:rsidR="003A59C2">
        <w:rPr>
          <w:rFonts w:ascii="Times New Roman" w:hAnsi="Times New Roman" w:cs="Times New Roman"/>
          <w:sz w:val="24"/>
          <w:szCs w:val="24"/>
        </w:rPr>
        <w:t>“</w:t>
      </w:r>
      <w:r w:rsidRPr="00082BF8">
        <w:rPr>
          <w:rFonts w:ascii="Times New Roman" w:hAnsi="Times New Roman" w:cs="Times New Roman"/>
          <w:sz w:val="24"/>
          <w:szCs w:val="24"/>
        </w:rPr>
        <w:t xml:space="preserve">office of the Center for </w:t>
      </w:r>
      <w:proofErr w:type="spellStart"/>
      <w:r w:rsidR="00082BF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082BF8">
        <w:rPr>
          <w:rFonts w:ascii="Times New Roman" w:hAnsi="Times New Roman" w:cs="Times New Roman"/>
          <w:sz w:val="24"/>
          <w:szCs w:val="24"/>
        </w:rPr>
        <w:t xml:space="preserve"> Education, </w:t>
      </w:r>
      <w:proofErr w:type="spellStart"/>
      <w:r w:rsidRPr="00082BF8">
        <w:rPr>
          <w:rFonts w:ascii="Times New Roman" w:hAnsi="Times New Roman" w:cs="Times New Roman"/>
          <w:sz w:val="24"/>
          <w:szCs w:val="24"/>
        </w:rPr>
        <w:t>Vidovdanska</w:t>
      </w:r>
      <w:proofErr w:type="spellEnd"/>
      <w:r w:rsidRPr="00082BF8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gramStart"/>
      <w:r w:rsidRPr="00082BF8">
        <w:rPr>
          <w:rFonts w:ascii="Times New Roman" w:hAnsi="Times New Roman" w:cs="Times New Roman"/>
          <w:sz w:val="24"/>
          <w:szCs w:val="24"/>
        </w:rPr>
        <w:t>Partesh</w:t>
      </w:r>
      <w:proofErr w:type="gramEnd"/>
      <w:r w:rsidR="003A59C2">
        <w:rPr>
          <w:rFonts w:ascii="Times New Roman" w:hAnsi="Times New Roman" w:cs="Times New Roman"/>
          <w:sz w:val="24"/>
          <w:szCs w:val="24"/>
        </w:rPr>
        <w:t>”</w:t>
      </w:r>
      <w:r w:rsidRPr="00082BF8">
        <w:rPr>
          <w:rFonts w:ascii="Times New Roman" w:hAnsi="Times New Roman" w:cs="Times New Roman"/>
          <w:sz w:val="24"/>
          <w:szCs w:val="24"/>
        </w:rPr>
        <w:t xml:space="preserve">, no later than </w:t>
      </w:r>
      <w:r w:rsidR="00082BF8">
        <w:rPr>
          <w:rFonts w:ascii="Times New Roman" w:hAnsi="Times New Roman" w:cs="Times New Roman"/>
          <w:sz w:val="24"/>
          <w:szCs w:val="24"/>
        </w:rPr>
        <w:t xml:space="preserve">April </w:t>
      </w:r>
      <w:r w:rsidRPr="00082BF8">
        <w:rPr>
          <w:rFonts w:ascii="Times New Roman" w:hAnsi="Times New Roman" w:cs="Times New Roman"/>
          <w:sz w:val="24"/>
          <w:szCs w:val="24"/>
        </w:rPr>
        <w:t>1</w:t>
      </w:r>
      <w:r w:rsidR="00082BF8">
        <w:rPr>
          <w:rFonts w:ascii="Times New Roman" w:hAnsi="Times New Roman" w:cs="Times New Roman"/>
          <w:sz w:val="24"/>
          <w:szCs w:val="24"/>
        </w:rPr>
        <w:t>5</w:t>
      </w:r>
      <w:r w:rsidRPr="00082BF8">
        <w:rPr>
          <w:rFonts w:ascii="Times New Roman" w:hAnsi="Times New Roman" w:cs="Times New Roman"/>
          <w:sz w:val="24"/>
          <w:szCs w:val="24"/>
        </w:rPr>
        <w:t>, 202</w:t>
      </w:r>
      <w:r w:rsidR="00082BF8">
        <w:rPr>
          <w:rFonts w:ascii="Times New Roman" w:hAnsi="Times New Roman" w:cs="Times New Roman"/>
          <w:sz w:val="24"/>
          <w:szCs w:val="24"/>
        </w:rPr>
        <w:t>2</w:t>
      </w:r>
      <w:r w:rsidRPr="00082BF8">
        <w:rPr>
          <w:rFonts w:ascii="Times New Roman" w:hAnsi="Times New Roman" w:cs="Times New Roman"/>
          <w:sz w:val="24"/>
          <w:szCs w:val="24"/>
        </w:rPr>
        <w:t xml:space="preserve"> by 16:00.</w:t>
      </w:r>
    </w:p>
    <w:p w14:paraId="5BD3967E" w14:textId="0044CD0C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All questions and answers, as well as other important notices to applicants will be published on the project's Facebook page </w:t>
      </w:r>
      <w:hyperlink r:id="rId10" w:history="1">
        <w:r w:rsidRPr="00082BF8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https://www.facebook.com/CPOPartes</w:t>
        </w:r>
      </w:hyperlink>
      <w:r w:rsidRPr="00082BF8">
        <w:rPr>
          <w:rFonts w:ascii="Times New Roman" w:hAnsi="Times New Roman" w:cs="Times New Roman"/>
          <w:sz w:val="24"/>
          <w:szCs w:val="24"/>
        </w:rPr>
        <w:t xml:space="preserve"> </w:t>
      </w:r>
      <w:r w:rsidR="008F5553" w:rsidRPr="00082BF8">
        <w:rPr>
          <w:rFonts w:ascii="Times New Roman" w:hAnsi="Times New Roman" w:cs="Times New Roman"/>
          <w:sz w:val="24"/>
          <w:szCs w:val="24"/>
        </w:rPr>
        <w:t xml:space="preserve">, no later than </w:t>
      </w:r>
      <w:r w:rsidR="00556A7C">
        <w:rPr>
          <w:rFonts w:ascii="Times New Roman" w:hAnsi="Times New Roman" w:cs="Times New Roman"/>
          <w:sz w:val="24"/>
          <w:szCs w:val="24"/>
        </w:rPr>
        <w:t>April 5</w:t>
      </w:r>
      <w:r w:rsidR="00082BF8">
        <w:rPr>
          <w:rFonts w:ascii="Times New Roman" w:hAnsi="Times New Roman" w:cs="Times New Roman"/>
          <w:sz w:val="24"/>
          <w:szCs w:val="24"/>
        </w:rPr>
        <w:t>th</w:t>
      </w:r>
      <w:r w:rsidRPr="00082BF8">
        <w:rPr>
          <w:rFonts w:ascii="Times New Roman" w:hAnsi="Times New Roman" w:cs="Times New Roman"/>
          <w:sz w:val="24"/>
          <w:szCs w:val="24"/>
        </w:rPr>
        <w:t>, 202</w:t>
      </w:r>
      <w:r w:rsidR="00CB57E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82BF8">
        <w:rPr>
          <w:rFonts w:ascii="Times New Roman" w:hAnsi="Times New Roman" w:cs="Times New Roman"/>
          <w:sz w:val="24"/>
          <w:szCs w:val="24"/>
        </w:rPr>
        <w:t>.</w:t>
      </w:r>
    </w:p>
    <w:p w14:paraId="5F41363D" w14:textId="77777777" w:rsidR="00082BF8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Questions regarding the prop</w:t>
      </w:r>
      <w:r w:rsidR="00082BF8">
        <w:rPr>
          <w:rFonts w:ascii="Times New Roman" w:hAnsi="Times New Roman" w:cs="Times New Roman"/>
          <w:sz w:val="24"/>
          <w:szCs w:val="24"/>
        </w:rPr>
        <w:t xml:space="preserve">ositions of this </w:t>
      </w:r>
      <w:r w:rsidR="00CA5A54">
        <w:rPr>
          <w:rFonts w:ascii="Times New Roman" w:hAnsi="Times New Roman" w:cs="Times New Roman"/>
          <w:sz w:val="24"/>
          <w:szCs w:val="24"/>
        </w:rPr>
        <w:t>public call</w:t>
      </w:r>
      <w:r w:rsidRPr="00082BF8">
        <w:rPr>
          <w:rFonts w:ascii="Times New Roman" w:hAnsi="Times New Roman" w:cs="Times New Roman"/>
          <w:sz w:val="24"/>
          <w:szCs w:val="24"/>
        </w:rPr>
        <w:t>, as well as all applications, may be written and submitted in Albanian, Serbian or English.</w:t>
      </w:r>
    </w:p>
    <w:p w14:paraId="63CAB386" w14:textId="77777777" w:rsidR="00A3734C" w:rsidRPr="00082BF8" w:rsidRDefault="00346E1B" w:rsidP="00A8611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82BF8">
        <w:rPr>
          <w:rFonts w:ascii="Times New Roman" w:hAnsi="Times New Roman" w:cs="Times New Roman"/>
          <w:b/>
          <w:sz w:val="28"/>
          <w:szCs w:val="24"/>
        </w:rPr>
        <w:t>EVALUATION AND SELECTION OF APPLICATIONS</w:t>
      </w:r>
    </w:p>
    <w:p w14:paraId="72561510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The selection of sub- grant recipients will be a three step process: pre-assessment, assessment and awarding. Each application will be pre-assessed to ensure that the basic requirements are met and that the application is in compliance with the eligibility criteria as follows: </w:t>
      </w:r>
    </w:p>
    <w:p w14:paraId="6B72EA8A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Applicant is citizen of East Region of Kosovo </w:t>
      </w:r>
    </w:p>
    <w:p w14:paraId="329CA758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application form and budget have been submitted;</w:t>
      </w:r>
    </w:p>
    <w:p w14:paraId="3ECCB482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application must be submitted before the deadline;</w:t>
      </w:r>
    </w:p>
    <w:p w14:paraId="4E35BB63" w14:textId="77777777" w:rsidR="00A3734C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The requested financial support is between the maximum and minimum amount for LOT1 or LOT2.</w:t>
      </w:r>
    </w:p>
    <w:p w14:paraId="7E62AED6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Below, the table of criteria based on what the evaluation will take place.</w:t>
      </w:r>
    </w:p>
    <w:p w14:paraId="2ADA3AD5" w14:textId="77777777" w:rsidR="00DC0245" w:rsidRPr="00082BF8" w:rsidRDefault="00DC0245" w:rsidP="00B255C1">
      <w:pPr>
        <w:rPr>
          <w:rFonts w:ascii="Times New Roman" w:hAnsi="Times New Roman" w:cs="Times New Roman"/>
          <w:b/>
        </w:rPr>
      </w:pPr>
      <w:r w:rsidRPr="00082BF8">
        <w:rPr>
          <w:rFonts w:ascii="Times New Roman" w:hAnsi="Times New Roman" w:cs="Times New Roman"/>
          <w:b/>
        </w:rPr>
        <w:t>LOT 1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DC0245" w:rsidRPr="00082BF8" w14:paraId="0EC82FB2" w14:textId="77777777" w:rsidTr="00395F4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110FD739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27C05104" w14:textId="77777777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Criteria </w:t>
            </w:r>
            <w:r w:rsidR="00DC0245" w:rsidRPr="00082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F0DFD8" w14:textId="77777777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Maximum Coefficient</w:t>
            </w:r>
          </w:p>
        </w:tc>
      </w:tr>
      <w:tr w:rsidR="00DC0245" w:rsidRPr="00082BF8" w14:paraId="37A71D00" w14:textId="77777777" w:rsidTr="003D1FE5">
        <w:trPr>
          <w:trHeight w:val="183"/>
        </w:trPr>
        <w:tc>
          <w:tcPr>
            <w:tcW w:w="476" w:type="dxa"/>
            <w:shd w:val="clear" w:color="auto" w:fill="E7E6E6" w:themeFill="background2"/>
          </w:tcPr>
          <w:p w14:paraId="30DA8B6B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0" w:type="dxa"/>
            <w:shd w:val="clear" w:color="auto" w:fill="E7E6E6" w:themeFill="background2"/>
          </w:tcPr>
          <w:p w14:paraId="4B2353D9" w14:textId="77777777" w:rsidR="00DC0245" w:rsidRPr="00082BF8" w:rsidRDefault="003D1FE5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T</w:t>
            </w:r>
            <w:r w:rsidR="00346E1B" w:rsidRPr="00082BF8">
              <w:rPr>
                <w:rFonts w:ascii="Times New Roman" w:hAnsi="Times New Roman" w:cs="Times New Roman"/>
                <w:b/>
              </w:rPr>
              <w:t xml:space="preserve">echnical approach </w:t>
            </w:r>
          </w:p>
        </w:tc>
        <w:tc>
          <w:tcPr>
            <w:tcW w:w="2268" w:type="dxa"/>
            <w:shd w:val="clear" w:color="auto" w:fill="E7E6E6" w:themeFill="background2"/>
          </w:tcPr>
          <w:p w14:paraId="25548CB7" w14:textId="77777777" w:rsidR="00DC0245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4</w:t>
            </w:r>
            <w:r w:rsidR="003D1FE5" w:rsidRPr="00082BF8">
              <w:rPr>
                <w:rFonts w:ascii="Times New Roman" w:hAnsi="Times New Roman" w:cs="Times New Roman"/>
              </w:rPr>
              <w:t xml:space="preserve">0 </w:t>
            </w:r>
            <w:r w:rsidR="00346E1B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DC0245" w:rsidRPr="00082BF8" w14:paraId="1B3A9672" w14:textId="77777777" w:rsidTr="00395F49">
        <w:tc>
          <w:tcPr>
            <w:tcW w:w="476" w:type="dxa"/>
          </w:tcPr>
          <w:p w14:paraId="21105EA5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0C0BAB06" w14:textId="77777777" w:rsidR="00DC0245" w:rsidRPr="00082BF8" w:rsidRDefault="00346E1B" w:rsidP="003D1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The applicant action belong to the one of the sectors mentioned by this call: Service/Production</w:t>
            </w:r>
          </w:p>
        </w:tc>
        <w:tc>
          <w:tcPr>
            <w:tcW w:w="2268" w:type="dxa"/>
          </w:tcPr>
          <w:p w14:paraId="36ACB8CE" w14:textId="77777777" w:rsidR="00DC0245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DC0245" w:rsidRPr="00082BF8" w14:paraId="0DDACE6D" w14:textId="77777777" w:rsidTr="00395F49">
        <w:tc>
          <w:tcPr>
            <w:tcW w:w="476" w:type="dxa"/>
          </w:tcPr>
          <w:p w14:paraId="31AA6490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70E0B749" w14:textId="77777777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The project proposal is relevant to the objectives of the call</w:t>
            </w:r>
          </w:p>
        </w:tc>
        <w:tc>
          <w:tcPr>
            <w:tcW w:w="2268" w:type="dxa"/>
          </w:tcPr>
          <w:p w14:paraId="77E45697" w14:textId="77777777" w:rsidR="00DC0245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1D5AAD" w:rsidRPr="00082BF8" w14:paraId="14F4FF3C" w14:textId="77777777" w:rsidTr="003D1FE5">
        <w:tc>
          <w:tcPr>
            <w:tcW w:w="476" w:type="dxa"/>
            <w:shd w:val="clear" w:color="auto" w:fill="E7E6E6" w:themeFill="background2"/>
          </w:tcPr>
          <w:p w14:paraId="1E2DF0E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0" w:type="dxa"/>
            <w:shd w:val="clear" w:color="auto" w:fill="E7E6E6" w:themeFill="background2"/>
          </w:tcPr>
          <w:p w14:paraId="637FCECB" w14:textId="77777777" w:rsidR="001D5AAD" w:rsidRPr="00082BF8" w:rsidRDefault="00F07442" w:rsidP="00F07442">
            <w:pPr>
              <w:tabs>
                <w:tab w:val="left" w:pos="3016"/>
              </w:tabs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Organizational capacity</w:t>
            </w:r>
          </w:p>
        </w:tc>
        <w:tc>
          <w:tcPr>
            <w:tcW w:w="2268" w:type="dxa"/>
            <w:shd w:val="clear" w:color="auto" w:fill="E7E6E6" w:themeFill="background2"/>
          </w:tcPr>
          <w:p w14:paraId="392D2BC5" w14:textId="77777777" w:rsidR="001D5AAD" w:rsidRPr="00082BF8" w:rsidRDefault="001D5AAD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30 </w:t>
            </w:r>
            <w:r w:rsidR="00F07442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1D5AAD" w:rsidRPr="00082BF8" w14:paraId="1E14BB42" w14:textId="77777777" w:rsidTr="00395F49">
        <w:tc>
          <w:tcPr>
            <w:tcW w:w="476" w:type="dxa"/>
          </w:tcPr>
          <w:p w14:paraId="15F04C0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3EA1A154" w14:textId="77777777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Are the activities proposed appropriate, practical and</w:t>
            </w:r>
          </w:p>
          <w:p w14:paraId="59B6E5DC" w14:textId="77777777" w:rsidR="001D5AAD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Consistent with the objectives and expected results?</w:t>
            </w:r>
          </w:p>
        </w:tc>
        <w:tc>
          <w:tcPr>
            <w:tcW w:w="2268" w:type="dxa"/>
          </w:tcPr>
          <w:p w14:paraId="589D1AA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1D5AAD" w:rsidRPr="00082BF8" w14:paraId="4FB616B0" w14:textId="77777777" w:rsidTr="00395F49">
        <w:tc>
          <w:tcPr>
            <w:tcW w:w="476" w:type="dxa"/>
          </w:tcPr>
          <w:p w14:paraId="1C60A21A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2379217" w14:textId="77777777" w:rsidR="001D5AAD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Employment of one or more persons through the proposed project  </w:t>
            </w:r>
          </w:p>
        </w:tc>
        <w:tc>
          <w:tcPr>
            <w:tcW w:w="2268" w:type="dxa"/>
          </w:tcPr>
          <w:p w14:paraId="68EC639B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1D5AAD" w:rsidRPr="00082BF8" w14:paraId="76F1418B" w14:textId="77777777" w:rsidTr="003D1FE5">
        <w:tc>
          <w:tcPr>
            <w:tcW w:w="476" w:type="dxa"/>
            <w:shd w:val="clear" w:color="auto" w:fill="E7E6E6" w:themeFill="background2"/>
          </w:tcPr>
          <w:p w14:paraId="17912E90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0" w:type="dxa"/>
            <w:shd w:val="clear" w:color="auto" w:fill="E7E6E6" w:themeFill="background2"/>
          </w:tcPr>
          <w:p w14:paraId="37B40EDF" w14:textId="77777777" w:rsidR="001D5AAD" w:rsidRPr="00082BF8" w:rsidRDefault="00F07442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 xml:space="preserve">Cost Proposal </w:t>
            </w:r>
          </w:p>
        </w:tc>
        <w:tc>
          <w:tcPr>
            <w:tcW w:w="2268" w:type="dxa"/>
            <w:shd w:val="clear" w:color="auto" w:fill="E7E6E6" w:themeFill="background2"/>
          </w:tcPr>
          <w:p w14:paraId="11AB6292" w14:textId="77777777" w:rsidR="001D5AAD" w:rsidRPr="00082BF8" w:rsidRDefault="001D5AAD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</w:t>
            </w:r>
            <w:r w:rsidR="003D1FE5" w:rsidRPr="00082BF8">
              <w:rPr>
                <w:rFonts w:ascii="Times New Roman" w:hAnsi="Times New Roman" w:cs="Times New Roman"/>
              </w:rPr>
              <w:t xml:space="preserve">0 </w:t>
            </w:r>
            <w:r w:rsidR="00F07442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1D5AAD" w:rsidRPr="00082BF8" w14:paraId="4B081456" w14:textId="77777777" w:rsidTr="00395F49">
        <w:tc>
          <w:tcPr>
            <w:tcW w:w="476" w:type="dxa"/>
          </w:tcPr>
          <w:p w14:paraId="206C6EC7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7AE296BD" w14:textId="77777777" w:rsidR="001D5AAD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Is the budget relevant to the activities </w:t>
            </w:r>
          </w:p>
        </w:tc>
        <w:tc>
          <w:tcPr>
            <w:tcW w:w="2268" w:type="dxa"/>
          </w:tcPr>
          <w:p w14:paraId="61BDD7AE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0011730" w14:textId="77777777" w:rsidR="00F34928" w:rsidRPr="00082BF8" w:rsidRDefault="00F34928" w:rsidP="00B255C1">
      <w:pPr>
        <w:rPr>
          <w:rFonts w:ascii="Times New Roman" w:hAnsi="Times New Roman" w:cs="Times New Roman"/>
          <w:b/>
        </w:rPr>
      </w:pPr>
    </w:p>
    <w:p w14:paraId="14E34E27" w14:textId="77777777" w:rsidR="00CA5A54" w:rsidRDefault="00CA5A54" w:rsidP="00B255C1">
      <w:pPr>
        <w:rPr>
          <w:rFonts w:ascii="Times New Roman" w:hAnsi="Times New Roman" w:cs="Times New Roman"/>
          <w:b/>
        </w:rPr>
      </w:pPr>
    </w:p>
    <w:p w14:paraId="6F39ED1B" w14:textId="77777777" w:rsidR="00DC0245" w:rsidRPr="00082BF8" w:rsidRDefault="00DC0245" w:rsidP="00B255C1">
      <w:pPr>
        <w:rPr>
          <w:rFonts w:ascii="Times New Roman" w:hAnsi="Times New Roman" w:cs="Times New Roman"/>
          <w:b/>
        </w:rPr>
      </w:pPr>
      <w:r w:rsidRPr="00082BF8">
        <w:rPr>
          <w:rFonts w:ascii="Times New Roman" w:hAnsi="Times New Roman" w:cs="Times New Roman"/>
          <w:b/>
        </w:rPr>
        <w:t>LOT 2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A82B78" w:rsidRPr="00082BF8" w14:paraId="1BE60AC1" w14:textId="77777777" w:rsidTr="00A82B78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1C4A14D4" w14:textId="77777777" w:rsidR="00A82B78" w:rsidRPr="00082BF8" w:rsidRDefault="00A82B78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610DD1C5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Criteria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A355AB7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Maximum Coefficient </w:t>
            </w:r>
          </w:p>
        </w:tc>
      </w:tr>
      <w:tr w:rsidR="00A82B78" w:rsidRPr="00082BF8" w14:paraId="2FCBFC6B" w14:textId="77777777" w:rsidTr="00EF67E2">
        <w:trPr>
          <w:trHeight w:val="183"/>
        </w:trPr>
        <w:tc>
          <w:tcPr>
            <w:tcW w:w="476" w:type="dxa"/>
            <w:shd w:val="clear" w:color="auto" w:fill="E7E6E6" w:themeFill="background2"/>
          </w:tcPr>
          <w:p w14:paraId="633753A5" w14:textId="77777777" w:rsidR="00A82B78" w:rsidRPr="00082BF8" w:rsidRDefault="00A82B7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0" w:type="dxa"/>
            <w:shd w:val="clear" w:color="auto" w:fill="E7E6E6" w:themeFill="background2"/>
          </w:tcPr>
          <w:p w14:paraId="5C90D05C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  <w:b/>
              </w:rPr>
              <w:t xml:space="preserve">Technical approach </w:t>
            </w:r>
          </w:p>
        </w:tc>
        <w:tc>
          <w:tcPr>
            <w:tcW w:w="2268" w:type="dxa"/>
            <w:shd w:val="clear" w:color="auto" w:fill="E7E6E6" w:themeFill="background2"/>
          </w:tcPr>
          <w:p w14:paraId="3A963715" w14:textId="77777777" w:rsidR="00A82B78" w:rsidRPr="00082BF8" w:rsidRDefault="00EF67E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60 </w:t>
            </w:r>
            <w:r w:rsidR="00F07442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2F7A23" w:rsidRPr="00082BF8" w14:paraId="7915C1AA" w14:textId="77777777" w:rsidTr="00A82B78">
        <w:tc>
          <w:tcPr>
            <w:tcW w:w="476" w:type="dxa"/>
          </w:tcPr>
          <w:p w14:paraId="3F9F5BE7" w14:textId="77777777" w:rsidR="002F7A23" w:rsidRPr="00082BF8" w:rsidRDefault="002F7A23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5F958E40" w14:textId="77777777" w:rsidR="00F07442" w:rsidRPr="00082BF8" w:rsidRDefault="00F07442" w:rsidP="00F074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The applicant and/or its proposed activities qualify as a</w:t>
            </w:r>
          </w:p>
          <w:p w14:paraId="077F0538" w14:textId="77777777" w:rsidR="002F7A23" w:rsidRPr="00082BF8" w:rsidRDefault="00F07442" w:rsidP="00F074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quality improvement of main product</w:t>
            </w:r>
          </w:p>
        </w:tc>
        <w:tc>
          <w:tcPr>
            <w:tcW w:w="2268" w:type="dxa"/>
          </w:tcPr>
          <w:p w14:paraId="2EF7F243" w14:textId="77777777" w:rsidR="002F7A23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A80BD0" w:rsidRPr="00082BF8" w14:paraId="13D0486C" w14:textId="77777777" w:rsidTr="00A82B78">
        <w:tc>
          <w:tcPr>
            <w:tcW w:w="476" w:type="dxa"/>
          </w:tcPr>
          <w:p w14:paraId="52B381FB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B8E5153" w14:textId="77777777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The project proposal is relevant to the objectives of the</w:t>
            </w:r>
          </w:p>
          <w:p w14:paraId="2DD2C082" w14:textId="77777777" w:rsidR="00A80BD0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call</w:t>
            </w:r>
          </w:p>
        </w:tc>
        <w:tc>
          <w:tcPr>
            <w:tcW w:w="2268" w:type="dxa"/>
          </w:tcPr>
          <w:p w14:paraId="09300F86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A80BD0" w:rsidRPr="00082BF8" w14:paraId="63569AAA" w14:textId="77777777" w:rsidTr="00A82B78">
        <w:tc>
          <w:tcPr>
            <w:tcW w:w="476" w:type="dxa"/>
          </w:tcPr>
          <w:p w14:paraId="38770850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986BDED" w14:textId="77777777" w:rsidR="00A80BD0" w:rsidRPr="00082BF8" w:rsidRDefault="00F07442" w:rsidP="00EF67E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The business plan is relevant to the objectives of the call</w:t>
            </w:r>
          </w:p>
        </w:tc>
        <w:tc>
          <w:tcPr>
            <w:tcW w:w="2268" w:type="dxa"/>
          </w:tcPr>
          <w:p w14:paraId="51311745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D01238" w:rsidRPr="00082BF8" w14:paraId="570C9ACC" w14:textId="77777777" w:rsidTr="00A82B78">
        <w:tc>
          <w:tcPr>
            <w:tcW w:w="476" w:type="dxa"/>
          </w:tcPr>
          <w:p w14:paraId="0C785B7B" w14:textId="77777777" w:rsidR="00D01238" w:rsidRPr="00082BF8" w:rsidRDefault="00D01238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005A2A7F" w14:textId="77777777" w:rsidR="00D0123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Employment of one or more persons through the proposed project  </w:t>
            </w:r>
          </w:p>
        </w:tc>
        <w:tc>
          <w:tcPr>
            <w:tcW w:w="2268" w:type="dxa"/>
          </w:tcPr>
          <w:p w14:paraId="1E1CEF14" w14:textId="77777777" w:rsidR="00D01238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</w:t>
            </w:r>
            <w:r w:rsidR="004F5BD3" w:rsidRPr="00082BF8">
              <w:rPr>
                <w:rFonts w:ascii="Times New Roman" w:hAnsi="Times New Roman" w:cs="Times New Roman"/>
              </w:rPr>
              <w:t>0</w:t>
            </w:r>
          </w:p>
        </w:tc>
      </w:tr>
      <w:tr w:rsidR="003D1FE5" w:rsidRPr="00082BF8" w14:paraId="61E57E82" w14:textId="77777777" w:rsidTr="00EF67E2">
        <w:tc>
          <w:tcPr>
            <w:tcW w:w="476" w:type="dxa"/>
            <w:shd w:val="clear" w:color="auto" w:fill="E7E6E6" w:themeFill="background2"/>
          </w:tcPr>
          <w:p w14:paraId="199B65BE" w14:textId="77777777" w:rsidR="003D1FE5" w:rsidRPr="00082BF8" w:rsidRDefault="003D1FE5" w:rsidP="003D1FE5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0" w:type="dxa"/>
            <w:shd w:val="clear" w:color="auto" w:fill="E7E6E6" w:themeFill="background2"/>
          </w:tcPr>
          <w:p w14:paraId="799AF77F" w14:textId="77777777" w:rsidR="003D1FE5" w:rsidRPr="00082BF8" w:rsidRDefault="00F07442" w:rsidP="003D1FE5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  <w:b/>
              </w:rPr>
              <w:t>Organizational capacity</w:t>
            </w:r>
          </w:p>
        </w:tc>
        <w:tc>
          <w:tcPr>
            <w:tcW w:w="2268" w:type="dxa"/>
            <w:shd w:val="clear" w:color="auto" w:fill="E7E6E6" w:themeFill="background2"/>
          </w:tcPr>
          <w:p w14:paraId="4915BC4C" w14:textId="77777777" w:rsidR="003D1FE5" w:rsidRPr="00082BF8" w:rsidRDefault="00EF67E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20 </w:t>
            </w:r>
            <w:r w:rsidR="00F07442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2A7B04" w:rsidRPr="00082BF8" w14:paraId="64A48021" w14:textId="77777777" w:rsidTr="00A82B78">
        <w:tc>
          <w:tcPr>
            <w:tcW w:w="476" w:type="dxa"/>
          </w:tcPr>
          <w:p w14:paraId="3C332555" w14:textId="77777777" w:rsidR="002A7B04" w:rsidRPr="00082BF8" w:rsidRDefault="002A7B04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112BFB22" w14:textId="77777777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Are the activities proposed appropriate, practical and</w:t>
            </w:r>
          </w:p>
          <w:p w14:paraId="5F4E053E" w14:textId="77777777" w:rsidR="002A7B04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Consistent with the objectives and expected results?</w:t>
            </w:r>
          </w:p>
        </w:tc>
        <w:tc>
          <w:tcPr>
            <w:tcW w:w="2268" w:type="dxa"/>
          </w:tcPr>
          <w:p w14:paraId="4F2BF6B6" w14:textId="77777777" w:rsidR="002A7B04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D01238" w:rsidRPr="00082BF8" w14:paraId="6AA51C6A" w14:textId="77777777" w:rsidTr="00EF67E2">
        <w:tc>
          <w:tcPr>
            <w:tcW w:w="476" w:type="dxa"/>
            <w:shd w:val="clear" w:color="auto" w:fill="E7E6E6" w:themeFill="background2"/>
          </w:tcPr>
          <w:p w14:paraId="15D44DEE" w14:textId="77777777" w:rsidR="00D01238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0" w:type="dxa"/>
            <w:shd w:val="clear" w:color="auto" w:fill="E7E6E6" w:themeFill="background2"/>
          </w:tcPr>
          <w:p w14:paraId="0CBE5212" w14:textId="77777777" w:rsidR="00D01238" w:rsidRPr="00082BF8" w:rsidRDefault="00F07442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Cost Proposal</w:t>
            </w:r>
          </w:p>
        </w:tc>
        <w:tc>
          <w:tcPr>
            <w:tcW w:w="2268" w:type="dxa"/>
            <w:shd w:val="clear" w:color="auto" w:fill="E7E6E6" w:themeFill="background2"/>
          </w:tcPr>
          <w:p w14:paraId="7C5F2F43" w14:textId="77777777" w:rsidR="00D01238" w:rsidRPr="00082BF8" w:rsidRDefault="00D01238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20 </w:t>
            </w:r>
            <w:r w:rsidR="00F07442" w:rsidRPr="00082BF8">
              <w:rPr>
                <w:rFonts w:ascii="Times New Roman" w:hAnsi="Times New Roman" w:cs="Times New Roman"/>
              </w:rPr>
              <w:t>total</w:t>
            </w:r>
          </w:p>
        </w:tc>
      </w:tr>
      <w:tr w:rsidR="00EF67E2" w:rsidRPr="00082BF8" w14:paraId="3B77BBA5" w14:textId="77777777" w:rsidTr="00431315">
        <w:trPr>
          <w:trHeight w:val="233"/>
        </w:trPr>
        <w:tc>
          <w:tcPr>
            <w:tcW w:w="476" w:type="dxa"/>
          </w:tcPr>
          <w:p w14:paraId="5B40111B" w14:textId="77777777" w:rsidR="00EF67E2" w:rsidRPr="00082BF8" w:rsidRDefault="00EF67E2" w:rsidP="00EF6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3DD29A7" w14:textId="77777777" w:rsidR="00EF67E2" w:rsidRPr="00082BF8" w:rsidRDefault="00F07442" w:rsidP="00EF67E2">
            <w:pPr>
              <w:tabs>
                <w:tab w:val="left" w:pos="3722"/>
              </w:tabs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Is the budget relevant to the activities</w:t>
            </w:r>
          </w:p>
        </w:tc>
        <w:tc>
          <w:tcPr>
            <w:tcW w:w="2268" w:type="dxa"/>
          </w:tcPr>
          <w:p w14:paraId="1693B447" w14:textId="77777777" w:rsidR="00EF67E2" w:rsidRPr="00082BF8" w:rsidRDefault="00EF67E2" w:rsidP="00EF67E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</w:tbl>
    <w:p w14:paraId="7B667717" w14:textId="77777777" w:rsidR="00570126" w:rsidRPr="00082BF8" w:rsidRDefault="00570126" w:rsidP="00B255C1">
      <w:pPr>
        <w:rPr>
          <w:rFonts w:ascii="Times New Roman" w:hAnsi="Times New Roman" w:cs="Times New Roman"/>
          <w:highlight w:val="cyan"/>
        </w:rPr>
      </w:pPr>
    </w:p>
    <w:p w14:paraId="24F39881" w14:textId="77777777" w:rsidR="00A3734C" w:rsidRPr="00082BF8" w:rsidRDefault="00F07442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CONTRACT</w:t>
      </w:r>
    </w:p>
    <w:p w14:paraId="302E5D1D" w14:textId="77777777" w:rsidR="00A3734C" w:rsidRPr="00082BF8" w:rsidRDefault="00F07442" w:rsidP="00F07442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 xml:space="preserve">The Sub- Granting Authority, Municipality of </w:t>
      </w:r>
      <w:r w:rsidR="00CA5A54">
        <w:rPr>
          <w:rFonts w:ascii="Times New Roman" w:hAnsi="Times New Roman" w:cs="Times New Roman"/>
          <w:sz w:val="24"/>
        </w:rPr>
        <w:t>Partesh</w:t>
      </w:r>
      <w:r w:rsidRPr="00082BF8">
        <w:rPr>
          <w:rFonts w:ascii="Times New Roman" w:hAnsi="Times New Roman" w:cs="Times New Roman"/>
          <w:sz w:val="24"/>
        </w:rPr>
        <w:t>, signs the contract with the beneficiary, which will include information of the activities to be carried out, the contract value, the modalities of payment and reporting.</w:t>
      </w:r>
    </w:p>
    <w:p w14:paraId="7DB6E99D" w14:textId="77777777" w:rsidR="00A3734C" w:rsidRPr="00082BF8" w:rsidRDefault="00F07442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first pre-financing payment covering 80% of the sub-grant amount will be made after both parties’ signs the contract.</w:t>
      </w:r>
    </w:p>
    <w:p w14:paraId="6D2D2232" w14:textId="77777777" w:rsidR="00A3734C" w:rsidRPr="00082BF8" w:rsidRDefault="00F07442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second and final payment covering the value of 20% will be paid upon completion of the last activity within the applied project and after the approval of the final report delivered by the beneficiary.</w:t>
      </w:r>
    </w:p>
    <w:p w14:paraId="7785C33C" w14:textId="77777777" w:rsidR="00A3734C" w:rsidRPr="00082BF8" w:rsidRDefault="00A3734C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MENTOR</w:t>
      </w:r>
      <w:r w:rsidR="00F07442" w:rsidRPr="00082BF8">
        <w:rPr>
          <w:rFonts w:ascii="Times New Roman" w:hAnsi="Times New Roman" w:cs="Times New Roman"/>
          <w:b/>
          <w:sz w:val="28"/>
        </w:rPr>
        <w:t xml:space="preserve">ING AND SUPPORT BENEFICIARIES </w:t>
      </w:r>
    </w:p>
    <w:p w14:paraId="619FC45D" w14:textId="77777777" w:rsidR="00F34928" w:rsidRPr="00CA5A54" w:rsidRDefault="00F34928" w:rsidP="00B255C1">
      <w:pPr>
        <w:rPr>
          <w:rFonts w:ascii="Times New Roman" w:hAnsi="Times New Roman" w:cs="Times New Roman"/>
          <w:sz w:val="24"/>
        </w:rPr>
      </w:pPr>
      <w:r w:rsidRPr="00CA5A54">
        <w:rPr>
          <w:rFonts w:ascii="Times New Roman" w:hAnsi="Times New Roman" w:cs="Times New Roman"/>
          <w:sz w:val="24"/>
        </w:rPr>
        <w:t xml:space="preserve">The Sub-Granting Authority will ensure that potential applicants receive adequate support during, both, the application process and implementation of their projects. </w:t>
      </w:r>
    </w:p>
    <w:p w14:paraId="493D0F75" w14:textId="77777777" w:rsidR="00F34928" w:rsidRPr="00082BF8" w:rsidRDefault="00F34928" w:rsidP="00B255C1">
      <w:pPr>
        <w:rPr>
          <w:rFonts w:ascii="Times New Roman" w:hAnsi="Times New Roman" w:cs="Times New Roman"/>
        </w:rPr>
      </w:pPr>
      <w:r w:rsidRPr="00CA5A54">
        <w:rPr>
          <w:rFonts w:ascii="Times New Roman" w:hAnsi="Times New Roman" w:cs="Times New Roman"/>
          <w:sz w:val="24"/>
        </w:rPr>
        <w:t>Moreover, coaching and mentoring sessions will be provided for successful applicants, which intend to guide and assist beneficiaries in implementing their activities related to the action</w:t>
      </w:r>
      <w:r w:rsidRPr="00082BF8">
        <w:rPr>
          <w:rFonts w:ascii="Times New Roman" w:hAnsi="Times New Roman" w:cs="Times New Roman"/>
        </w:rPr>
        <w:t xml:space="preserve">. </w:t>
      </w:r>
    </w:p>
    <w:p w14:paraId="4686D604" w14:textId="77777777" w:rsidR="00A3734C" w:rsidRPr="00082BF8" w:rsidRDefault="00A3734C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MONITORING</w:t>
      </w:r>
    </w:p>
    <w:p w14:paraId="3DCD417A" w14:textId="77777777" w:rsidR="00A3734C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Sub-Granting Authority will monitor the work of successful applicants to ensure the correct project activity implementation. The monitoring will take place through on the spot checks, reporting, and regular meetings.</w:t>
      </w:r>
    </w:p>
    <w:p w14:paraId="0655BFFD" w14:textId="77777777" w:rsidR="00570126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Center for professional Education will monitor the projects for the next five years.</w:t>
      </w:r>
    </w:p>
    <w:p w14:paraId="22B2F825" w14:textId="77777777" w:rsidR="006605B6" w:rsidRDefault="006605B6" w:rsidP="00B255C1">
      <w:pPr>
        <w:rPr>
          <w:rFonts w:ascii="Times New Roman" w:hAnsi="Times New Roman" w:cs="Times New Roman"/>
          <w:b/>
          <w:sz w:val="28"/>
        </w:rPr>
      </w:pPr>
    </w:p>
    <w:p w14:paraId="46E675DD" w14:textId="77777777" w:rsidR="00A3734C" w:rsidRPr="00082BF8" w:rsidRDefault="00F34928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 xml:space="preserve">VISIBILITY </w:t>
      </w:r>
    </w:p>
    <w:p w14:paraId="124471A2" w14:textId="77777777" w:rsidR="00F03636" w:rsidRPr="00082BF8" w:rsidRDefault="00F34928" w:rsidP="00B255C1">
      <w:pPr>
        <w:rPr>
          <w:rFonts w:ascii="Times New Roman" w:hAnsi="Times New Roman" w:cs="Times New Roman"/>
        </w:rPr>
      </w:pPr>
      <w:r w:rsidRPr="00082BF8">
        <w:rPr>
          <w:rFonts w:ascii="Times New Roman" w:hAnsi="Times New Roman" w:cs="Times New Roman"/>
          <w:sz w:val="24"/>
        </w:rPr>
        <w:lastRenderedPageBreak/>
        <w:t xml:space="preserve">Beneficiaries must demonstrate the contribution of EU funds to all investments. </w:t>
      </w:r>
    </w:p>
    <w:p w14:paraId="66C81F3A" w14:textId="77777777" w:rsidR="00A3734C" w:rsidRPr="00082BF8" w:rsidRDefault="00F34928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 xml:space="preserve">REPORTING </w:t>
      </w:r>
    </w:p>
    <w:p w14:paraId="2662E9EF" w14:textId="77777777" w:rsidR="00F34928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beneficiary is required to submit the final report no later than 30 days after the end of the implementation of the action. The final report should include:</w:t>
      </w:r>
    </w:p>
    <w:p w14:paraId="3BB544F3" w14:textId="77777777" w:rsidR="00F34928" w:rsidRPr="00082BF8" w:rsidRDefault="00F34928" w:rsidP="00F349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  <w:u w:val="single"/>
        </w:rPr>
        <w:t>Narrative section</w:t>
      </w:r>
      <w:r w:rsidRPr="00082BF8">
        <w:rPr>
          <w:rFonts w:ascii="Times New Roman" w:hAnsi="Times New Roman" w:cs="Times New Roman"/>
          <w:sz w:val="24"/>
        </w:rPr>
        <w:t>: in no more than 2 pages, a summary of the activities implemented, the main evidence supporting them and recommendations arising from them</w:t>
      </w:r>
    </w:p>
    <w:p w14:paraId="3422F0ED" w14:textId="77777777" w:rsidR="00A3734C" w:rsidRPr="00082BF8" w:rsidRDefault="00F34928" w:rsidP="00F349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  <w:u w:val="single"/>
        </w:rPr>
        <w:t>Financial section</w:t>
      </w:r>
      <w:r w:rsidRPr="00082BF8">
        <w:rPr>
          <w:rFonts w:ascii="Times New Roman" w:hAnsi="Times New Roman" w:cs="Times New Roman"/>
          <w:sz w:val="24"/>
        </w:rPr>
        <w:t>: includes details on the expenditures (copies of all invoices)</w:t>
      </w:r>
    </w:p>
    <w:p w14:paraId="3B8174FC" w14:textId="77777777" w:rsidR="00A3734C" w:rsidRPr="00082BF8" w:rsidRDefault="00F34928" w:rsidP="00B255C1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The narrative and financial reporting forms will be provided to grantees in the first phase of the implementation of the project.</w:t>
      </w:r>
    </w:p>
    <w:p w14:paraId="7071CCEC" w14:textId="77777777" w:rsidR="00076ED6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 xml:space="preserve">INDICATIVE TIMETABLE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1700"/>
      </w:tblGrid>
      <w:tr w:rsidR="00FF4B9E" w:rsidRPr="00082BF8" w14:paraId="54A39459" w14:textId="77777777" w:rsidTr="006F086F">
        <w:tc>
          <w:tcPr>
            <w:tcW w:w="5103" w:type="dxa"/>
            <w:shd w:val="clear" w:color="auto" w:fill="D0CECE" w:themeFill="background2" w:themeFillShade="E6"/>
          </w:tcPr>
          <w:p w14:paraId="58CF70B8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9242DC5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6BFC99C2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Time</w:t>
            </w:r>
          </w:p>
        </w:tc>
      </w:tr>
      <w:tr w:rsidR="00FF4B9E" w:rsidRPr="00082BF8" w14:paraId="045A78D5" w14:textId="77777777" w:rsidTr="00B54865">
        <w:tc>
          <w:tcPr>
            <w:tcW w:w="5103" w:type="dxa"/>
          </w:tcPr>
          <w:p w14:paraId="227EF153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Public announcement of the Call for Proposal</w:t>
            </w:r>
          </w:p>
        </w:tc>
        <w:tc>
          <w:tcPr>
            <w:tcW w:w="2268" w:type="dxa"/>
          </w:tcPr>
          <w:p w14:paraId="7AFCD291" w14:textId="07977CB8" w:rsidR="00FF4B9E" w:rsidRPr="00082BF8" w:rsidRDefault="008F5553" w:rsidP="00556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82BF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A54">
              <w:rPr>
                <w:rFonts w:ascii="Times New Roman" w:hAnsi="Times New Roman" w:cs="Times New Roman"/>
                <w:color w:val="000000" w:themeColor="text1"/>
              </w:rPr>
              <w:t>March</w:t>
            </w:r>
          </w:p>
        </w:tc>
        <w:tc>
          <w:tcPr>
            <w:tcW w:w="1700" w:type="dxa"/>
          </w:tcPr>
          <w:p w14:paraId="50270793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N/A</w:t>
            </w:r>
          </w:p>
        </w:tc>
      </w:tr>
      <w:tr w:rsidR="00FF4B9E" w:rsidRPr="00082BF8" w14:paraId="6000F54E" w14:textId="77777777" w:rsidTr="00B54865">
        <w:tc>
          <w:tcPr>
            <w:tcW w:w="5103" w:type="dxa"/>
          </w:tcPr>
          <w:p w14:paraId="1DDA4279" w14:textId="77777777" w:rsidR="00FF4B9E" w:rsidRPr="00082BF8" w:rsidRDefault="00F34928" w:rsidP="00F34928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Deadline for requesting any clarifications </w:t>
            </w:r>
          </w:p>
        </w:tc>
        <w:tc>
          <w:tcPr>
            <w:tcW w:w="2268" w:type="dxa"/>
          </w:tcPr>
          <w:p w14:paraId="5934CD2F" w14:textId="44869ADB" w:rsidR="00FF4B9E" w:rsidRPr="00082BF8" w:rsidRDefault="008F5553" w:rsidP="00556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56A7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82BF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A54">
              <w:rPr>
                <w:rFonts w:ascii="Times New Roman" w:hAnsi="Times New Roman" w:cs="Times New Roman"/>
                <w:color w:val="000000" w:themeColor="text1"/>
              </w:rPr>
              <w:t>March</w:t>
            </w:r>
          </w:p>
        </w:tc>
        <w:tc>
          <w:tcPr>
            <w:tcW w:w="1700" w:type="dxa"/>
          </w:tcPr>
          <w:p w14:paraId="59B06AE0" w14:textId="77777777" w:rsidR="00FF4B9E" w:rsidRPr="00082BF8" w:rsidRDefault="004175E7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23:59</w:t>
            </w:r>
          </w:p>
        </w:tc>
      </w:tr>
      <w:tr w:rsidR="008F5553" w:rsidRPr="00082BF8" w14:paraId="16C1F574" w14:textId="77777777" w:rsidTr="00B54865">
        <w:tc>
          <w:tcPr>
            <w:tcW w:w="5103" w:type="dxa"/>
          </w:tcPr>
          <w:p w14:paraId="1FCF9AB0" w14:textId="77777777" w:rsidR="008F5553" w:rsidRPr="00082BF8" w:rsidRDefault="008F5553" w:rsidP="00F34928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Deadline for answers</w:t>
            </w:r>
          </w:p>
        </w:tc>
        <w:tc>
          <w:tcPr>
            <w:tcW w:w="2268" w:type="dxa"/>
          </w:tcPr>
          <w:p w14:paraId="7A6E143F" w14:textId="567E97D4" w:rsidR="008F5553" w:rsidRPr="00082BF8" w:rsidRDefault="00556A7C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8F5553" w:rsidRPr="00082BF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A5A54">
              <w:rPr>
                <w:rFonts w:ascii="Times New Roman" w:hAnsi="Times New Roman" w:cs="Times New Roman"/>
                <w:color w:val="000000" w:themeColor="text1"/>
              </w:rPr>
              <w:t>April</w:t>
            </w:r>
          </w:p>
        </w:tc>
        <w:tc>
          <w:tcPr>
            <w:tcW w:w="1700" w:type="dxa"/>
          </w:tcPr>
          <w:p w14:paraId="6C0BAB92" w14:textId="77777777" w:rsidR="008F5553" w:rsidRPr="00082BF8" w:rsidRDefault="008F5553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FF4B9E" w:rsidRPr="00082BF8" w14:paraId="02629E63" w14:textId="77777777" w:rsidTr="00B54865">
        <w:tc>
          <w:tcPr>
            <w:tcW w:w="5103" w:type="dxa"/>
          </w:tcPr>
          <w:p w14:paraId="29F22EE5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Deadline for submission of Applications</w:t>
            </w:r>
          </w:p>
        </w:tc>
        <w:tc>
          <w:tcPr>
            <w:tcW w:w="2268" w:type="dxa"/>
          </w:tcPr>
          <w:p w14:paraId="4AFDD32B" w14:textId="77777777" w:rsidR="00FF4B9E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8F5553" w:rsidRPr="00082BF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April</w:t>
            </w:r>
          </w:p>
        </w:tc>
        <w:tc>
          <w:tcPr>
            <w:tcW w:w="1700" w:type="dxa"/>
          </w:tcPr>
          <w:p w14:paraId="069AF982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1B47B1" w:rsidRPr="00082BF8" w14:paraId="20101DC0" w14:textId="77777777" w:rsidTr="00B54865">
        <w:tc>
          <w:tcPr>
            <w:tcW w:w="5103" w:type="dxa"/>
          </w:tcPr>
          <w:p w14:paraId="1C62EB3F" w14:textId="77777777" w:rsidR="001B47B1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Notification of award to applicants after the evaluation</w:t>
            </w:r>
          </w:p>
        </w:tc>
        <w:tc>
          <w:tcPr>
            <w:tcW w:w="2268" w:type="dxa"/>
          </w:tcPr>
          <w:p w14:paraId="19E79AF8" w14:textId="77777777" w:rsidR="001B47B1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8F5553" w:rsidRPr="00082BF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April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0" w:type="dxa"/>
          </w:tcPr>
          <w:p w14:paraId="6530E6B8" w14:textId="77777777" w:rsidR="001B47B1" w:rsidRPr="00082BF8" w:rsidRDefault="00F03636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1B47B1" w:rsidRPr="00082BF8" w14:paraId="6EA61942" w14:textId="77777777" w:rsidTr="00B54865">
        <w:tc>
          <w:tcPr>
            <w:tcW w:w="5103" w:type="dxa"/>
          </w:tcPr>
          <w:p w14:paraId="255220B9" w14:textId="77777777" w:rsidR="001B47B1" w:rsidRPr="00082BF8" w:rsidRDefault="00F34928" w:rsidP="006F086F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Deadline for Appeals on the Award Decision</w:t>
            </w:r>
          </w:p>
        </w:tc>
        <w:tc>
          <w:tcPr>
            <w:tcW w:w="2268" w:type="dxa"/>
          </w:tcPr>
          <w:p w14:paraId="5ABE281B" w14:textId="77777777" w:rsidR="001B47B1" w:rsidRPr="00082BF8" w:rsidRDefault="00CA5A54" w:rsidP="008F55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8F5553" w:rsidRPr="00082BF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April 2022</w:t>
            </w:r>
          </w:p>
        </w:tc>
        <w:tc>
          <w:tcPr>
            <w:tcW w:w="1700" w:type="dxa"/>
          </w:tcPr>
          <w:p w14:paraId="4C1577EA" w14:textId="77777777" w:rsidR="001B47B1" w:rsidRPr="00082BF8" w:rsidRDefault="008F5553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12</w:t>
            </w:r>
            <w:r w:rsidR="001C6975" w:rsidRPr="00082BF8">
              <w:rPr>
                <w:rFonts w:ascii="Times New Roman" w:hAnsi="Times New Roman" w:cs="Times New Roman"/>
              </w:rPr>
              <w:t>:00</w:t>
            </w:r>
          </w:p>
        </w:tc>
      </w:tr>
      <w:tr w:rsidR="00FF4B9E" w:rsidRPr="00082BF8" w14:paraId="51D5E198" w14:textId="77777777" w:rsidTr="00B54865">
        <w:tc>
          <w:tcPr>
            <w:tcW w:w="5103" w:type="dxa"/>
          </w:tcPr>
          <w:p w14:paraId="7523DD3A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Final decision on the Awards </w:t>
            </w:r>
          </w:p>
        </w:tc>
        <w:tc>
          <w:tcPr>
            <w:tcW w:w="2268" w:type="dxa"/>
          </w:tcPr>
          <w:p w14:paraId="7BEAFBC5" w14:textId="77777777" w:rsidR="00FF4B9E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 May 2022</w:t>
            </w:r>
          </w:p>
        </w:tc>
        <w:tc>
          <w:tcPr>
            <w:tcW w:w="1700" w:type="dxa"/>
          </w:tcPr>
          <w:p w14:paraId="00C99E98" w14:textId="77777777" w:rsidR="00FF4B9E" w:rsidRPr="00082BF8" w:rsidRDefault="001C6975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FF4B9E" w:rsidRPr="00082BF8" w14:paraId="5437BFB7" w14:textId="77777777" w:rsidTr="00B54865">
        <w:tc>
          <w:tcPr>
            <w:tcW w:w="5103" w:type="dxa"/>
          </w:tcPr>
          <w:p w14:paraId="153C5CCA" w14:textId="77777777" w:rsidR="00FF4B9E" w:rsidRPr="00082BF8" w:rsidRDefault="00F34928" w:rsidP="006F086F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Contract preparation and provision of supporting documentation in correspondence between selected applicants and Granting Authority</w:t>
            </w:r>
          </w:p>
        </w:tc>
        <w:tc>
          <w:tcPr>
            <w:tcW w:w="2268" w:type="dxa"/>
          </w:tcPr>
          <w:p w14:paraId="47C064C9" w14:textId="77777777" w:rsidR="00FF4B9E" w:rsidRPr="00082BF8" w:rsidRDefault="00CA5A54" w:rsidP="008F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May</w:t>
            </w:r>
            <w:r w:rsidR="00F03636" w:rsidRPr="00082BF8">
              <w:rPr>
                <w:rFonts w:ascii="Times New Roman" w:hAnsi="Times New Roman" w:cs="Times New Roman"/>
                <w:color w:val="000000" w:themeColor="text1"/>
              </w:rPr>
              <w:t xml:space="preserve"> 2021</w:t>
            </w:r>
          </w:p>
        </w:tc>
        <w:tc>
          <w:tcPr>
            <w:tcW w:w="1700" w:type="dxa"/>
          </w:tcPr>
          <w:p w14:paraId="3AE73DB9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9C2C3B1" w14:textId="77777777" w:rsidR="00AC16C8" w:rsidRPr="00B255C1" w:rsidRDefault="00AC16C8" w:rsidP="006605B6">
      <w:pPr>
        <w:jc w:val="both"/>
        <w:rPr>
          <w:rFonts w:cstheme="minorHAnsi"/>
        </w:rPr>
      </w:pPr>
    </w:p>
    <w:sectPr w:rsidR="00AC16C8" w:rsidRPr="00B255C1" w:rsidSect="009F3C65">
      <w:headerReference w:type="default" r:id="rId11"/>
      <w:footerReference w:type="default" r:id="rId12"/>
      <w:pgSz w:w="12240" w:h="15840"/>
      <w:pgMar w:top="1440" w:right="900" w:bottom="1440" w:left="1440" w:header="720" w:footer="0" w:gutter="0"/>
      <w:paperSrc w:first="257" w:other="257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C1F2" w16cex:dateUtc="2022-03-10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FE762C" w16cid:durableId="25D4C1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2D5CB" w14:textId="77777777" w:rsidR="006630A1" w:rsidRDefault="006630A1" w:rsidP="0046190D">
      <w:pPr>
        <w:spacing w:after="0" w:line="240" w:lineRule="auto"/>
      </w:pPr>
      <w:r>
        <w:separator/>
      </w:r>
    </w:p>
  </w:endnote>
  <w:endnote w:type="continuationSeparator" w:id="0">
    <w:p w14:paraId="3CBBD85B" w14:textId="77777777" w:rsidR="006630A1" w:rsidRDefault="006630A1" w:rsidP="004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32BBA" w14:textId="77777777" w:rsidR="00450FB7" w:rsidRDefault="00450FB7" w:rsidP="001C6975">
    <w:pPr>
      <w:pStyle w:val="Foo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6C53115" wp14:editId="05F8E280">
          <wp:simplePos x="0" y="0"/>
          <wp:positionH relativeFrom="column">
            <wp:posOffset>5353050</wp:posOffset>
          </wp:positionH>
          <wp:positionV relativeFrom="page">
            <wp:posOffset>9473565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7" name="Picture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</w:rPr>
      <w:drawing>
        <wp:anchor distT="0" distB="0" distL="114300" distR="114300" simplePos="0" relativeHeight="251659776" behindDoc="1" locked="0" layoutInCell="1" allowOverlap="1" wp14:anchorId="38160352" wp14:editId="3F8A2AD2">
          <wp:simplePos x="0" y="0"/>
          <wp:positionH relativeFrom="column">
            <wp:posOffset>1152525</wp:posOffset>
          </wp:positionH>
          <wp:positionV relativeFrom="bottomMargin">
            <wp:posOffset>276225</wp:posOffset>
          </wp:positionV>
          <wp:extent cx="542925" cy="600075"/>
          <wp:effectExtent l="0" t="0" r="9525" b="9525"/>
          <wp:wrapNone/>
          <wp:docPr id="6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Implemented by</w:t>
    </w:r>
    <w:r>
      <w:tab/>
      <w:t xml:space="preserve">                                                                                                  In Partnership with </w:t>
    </w:r>
  </w:p>
  <w:p w14:paraId="61F14AC5" w14:textId="77777777" w:rsidR="00450FB7" w:rsidRPr="0046190D" w:rsidRDefault="00450FB7" w:rsidP="00450FB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2BBFE" w14:textId="77777777" w:rsidR="006630A1" w:rsidRDefault="006630A1" w:rsidP="0046190D">
      <w:pPr>
        <w:spacing w:after="0" w:line="240" w:lineRule="auto"/>
      </w:pPr>
      <w:r>
        <w:separator/>
      </w:r>
    </w:p>
  </w:footnote>
  <w:footnote w:type="continuationSeparator" w:id="0">
    <w:p w14:paraId="634BF0AA" w14:textId="77777777" w:rsidR="006630A1" w:rsidRDefault="006630A1" w:rsidP="0046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232FC" w14:textId="77777777" w:rsidR="00450FB7" w:rsidRPr="001C6975" w:rsidRDefault="00450FB7" w:rsidP="001C6975">
    <w:pPr>
      <w:pStyle w:val="Header"/>
      <w:tabs>
        <w:tab w:val="clear" w:pos="4680"/>
        <w:tab w:val="clear" w:pos="9360"/>
        <w:tab w:val="left" w:pos="7515"/>
      </w:tabs>
    </w:pPr>
    <w:bookmarkStart w:id="1" w:name="_Hlk85032530"/>
    <w:bookmarkStart w:id="2" w:name="_Hlk85032531"/>
    <w:bookmarkStart w:id="3" w:name="_Hlk85032835"/>
    <w:bookmarkStart w:id="4" w:name="_Hlk85032836"/>
    <w:bookmarkStart w:id="5" w:name="_Hlk85032971"/>
    <w:bookmarkStart w:id="6" w:name="_Hlk85032972"/>
    <w:r w:rsidRPr="0016463D">
      <w:rPr>
        <w:noProof/>
      </w:rPr>
      <w:drawing>
        <wp:anchor distT="0" distB="0" distL="114300" distR="114300" simplePos="0" relativeHeight="251657728" behindDoc="1" locked="0" layoutInCell="1" allowOverlap="1" wp14:anchorId="3F3FF8C0" wp14:editId="1436A9C5">
          <wp:simplePos x="0" y="0"/>
          <wp:positionH relativeFrom="margin">
            <wp:posOffset>4705350</wp:posOffset>
          </wp:positionH>
          <wp:positionV relativeFrom="page">
            <wp:posOffset>582930</wp:posOffset>
          </wp:positionV>
          <wp:extent cx="1038225" cy="321945"/>
          <wp:effectExtent l="0" t="0" r="0" b="0"/>
          <wp:wrapTight wrapText="bothSides">
            <wp:wrapPolygon edited="0">
              <wp:start x="1585" y="0"/>
              <wp:lineTo x="0" y="6391"/>
              <wp:lineTo x="0" y="15337"/>
              <wp:lineTo x="1585" y="20450"/>
              <wp:lineTo x="18231" y="20450"/>
              <wp:lineTo x="21402" y="14059"/>
              <wp:lineTo x="21402" y="5112"/>
              <wp:lineTo x="20609" y="0"/>
              <wp:lineTo x="1585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21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1B956E" wp14:editId="0D404C8B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C1E"/>
    <w:multiLevelType w:val="hybridMultilevel"/>
    <w:tmpl w:val="75CC7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FAC"/>
    <w:multiLevelType w:val="hybridMultilevel"/>
    <w:tmpl w:val="A6A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F6717"/>
    <w:multiLevelType w:val="hybridMultilevel"/>
    <w:tmpl w:val="3514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1EAA"/>
    <w:multiLevelType w:val="hybridMultilevel"/>
    <w:tmpl w:val="30F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1465C"/>
    <w:multiLevelType w:val="hybridMultilevel"/>
    <w:tmpl w:val="9A1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B13E5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234F1"/>
    <w:multiLevelType w:val="hybridMultilevel"/>
    <w:tmpl w:val="927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30A1A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69E50E9"/>
    <w:multiLevelType w:val="hybridMultilevel"/>
    <w:tmpl w:val="8238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E3794"/>
    <w:multiLevelType w:val="hybridMultilevel"/>
    <w:tmpl w:val="99E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3D32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154F9"/>
    <w:multiLevelType w:val="hybridMultilevel"/>
    <w:tmpl w:val="252C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65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3270"/>
    <w:multiLevelType w:val="hybridMultilevel"/>
    <w:tmpl w:val="4A20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01D18"/>
    <w:multiLevelType w:val="hybridMultilevel"/>
    <w:tmpl w:val="C1B8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2F2B2C"/>
    <w:multiLevelType w:val="hybridMultilevel"/>
    <w:tmpl w:val="0338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93742"/>
    <w:multiLevelType w:val="hybridMultilevel"/>
    <w:tmpl w:val="1F08E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E07A9C"/>
    <w:multiLevelType w:val="multilevel"/>
    <w:tmpl w:val="158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A77B2"/>
    <w:multiLevelType w:val="hybridMultilevel"/>
    <w:tmpl w:val="51CC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66A42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A5A0E"/>
    <w:multiLevelType w:val="hybridMultilevel"/>
    <w:tmpl w:val="474A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887B52"/>
    <w:multiLevelType w:val="multilevel"/>
    <w:tmpl w:val="C8B8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54228"/>
    <w:multiLevelType w:val="hybridMultilevel"/>
    <w:tmpl w:val="8F74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1488C"/>
    <w:multiLevelType w:val="multilevel"/>
    <w:tmpl w:val="5C5E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7286ED8"/>
    <w:multiLevelType w:val="hybridMultilevel"/>
    <w:tmpl w:val="5D58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E10D84"/>
    <w:multiLevelType w:val="hybridMultilevel"/>
    <w:tmpl w:val="5452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163E7"/>
    <w:multiLevelType w:val="hybridMultilevel"/>
    <w:tmpl w:val="95E87CAA"/>
    <w:lvl w:ilvl="0" w:tplc="05E46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9E3927"/>
    <w:multiLevelType w:val="hybridMultilevel"/>
    <w:tmpl w:val="7A30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B5BB3"/>
    <w:multiLevelType w:val="hybridMultilevel"/>
    <w:tmpl w:val="36CA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268FA"/>
    <w:multiLevelType w:val="hybridMultilevel"/>
    <w:tmpl w:val="5EA6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434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51C31"/>
    <w:multiLevelType w:val="hybridMultilevel"/>
    <w:tmpl w:val="910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8E2099"/>
    <w:multiLevelType w:val="hybridMultilevel"/>
    <w:tmpl w:val="A07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7611B"/>
    <w:multiLevelType w:val="hybridMultilevel"/>
    <w:tmpl w:val="AA52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D86675"/>
    <w:multiLevelType w:val="hybridMultilevel"/>
    <w:tmpl w:val="C9E4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068F8"/>
    <w:multiLevelType w:val="hybridMultilevel"/>
    <w:tmpl w:val="570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A01A6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10D68"/>
    <w:multiLevelType w:val="hybridMultilevel"/>
    <w:tmpl w:val="212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7430A4"/>
    <w:multiLevelType w:val="hybridMultilevel"/>
    <w:tmpl w:val="A802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865A2"/>
    <w:multiLevelType w:val="hybridMultilevel"/>
    <w:tmpl w:val="420E9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05FE2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C3380"/>
    <w:multiLevelType w:val="hybridMultilevel"/>
    <w:tmpl w:val="FBC6A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8B5CCF"/>
    <w:multiLevelType w:val="multilevel"/>
    <w:tmpl w:val="5C5E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F31478B"/>
    <w:multiLevelType w:val="hybridMultilevel"/>
    <w:tmpl w:val="E3D60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E42B07"/>
    <w:multiLevelType w:val="hybridMultilevel"/>
    <w:tmpl w:val="CA22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9"/>
  </w:num>
  <w:num w:numId="4">
    <w:abstractNumId w:val="17"/>
  </w:num>
  <w:num w:numId="5">
    <w:abstractNumId w:val="29"/>
  </w:num>
  <w:num w:numId="6">
    <w:abstractNumId w:val="31"/>
  </w:num>
  <w:num w:numId="7">
    <w:abstractNumId w:val="2"/>
  </w:num>
  <w:num w:numId="8">
    <w:abstractNumId w:val="40"/>
  </w:num>
  <w:num w:numId="9">
    <w:abstractNumId w:val="5"/>
  </w:num>
  <w:num w:numId="10">
    <w:abstractNumId w:val="43"/>
  </w:num>
  <w:num w:numId="11">
    <w:abstractNumId w:val="7"/>
  </w:num>
  <w:num w:numId="12">
    <w:abstractNumId w:val="20"/>
  </w:num>
  <w:num w:numId="13">
    <w:abstractNumId w:val="19"/>
  </w:num>
  <w:num w:numId="14">
    <w:abstractNumId w:val="13"/>
  </w:num>
  <w:num w:numId="15">
    <w:abstractNumId w:val="25"/>
  </w:num>
  <w:num w:numId="16">
    <w:abstractNumId w:val="4"/>
  </w:num>
  <w:num w:numId="17">
    <w:abstractNumId w:val="34"/>
  </w:num>
  <w:num w:numId="18">
    <w:abstractNumId w:val="39"/>
  </w:num>
  <w:num w:numId="19">
    <w:abstractNumId w:val="24"/>
  </w:num>
  <w:num w:numId="20">
    <w:abstractNumId w:val="0"/>
  </w:num>
  <w:num w:numId="21">
    <w:abstractNumId w:val="14"/>
  </w:num>
  <w:num w:numId="22">
    <w:abstractNumId w:val="27"/>
  </w:num>
  <w:num w:numId="23">
    <w:abstractNumId w:val="16"/>
  </w:num>
  <w:num w:numId="24">
    <w:abstractNumId w:val="44"/>
  </w:num>
  <w:num w:numId="25">
    <w:abstractNumId w:val="42"/>
  </w:num>
  <w:num w:numId="26">
    <w:abstractNumId w:val="6"/>
  </w:num>
  <w:num w:numId="27">
    <w:abstractNumId w:val="18"/>
  </w:num>
  <w:num w:numId="28">
    <w:abstractNumId w:val="8"/>
  </w:num>
  <w:num w:numId="29">
    <w:abstractNumId w:val="12"/>
  </w:num>
  <w:num w:numId="30">
    <w:abstractNumId w:val="45"/>
  </w:num>
  <w:num w:numId="31">
    <w:abstractNumId w:val="33"/>
  </w:num>
  <w:num w:numId="32">
    <w:abstractNumId w:val="32"/>
  </w:num>
  <w:num w:numId="33">
    <w:abstractNumId w:val="1"/>
  </w:num>
  <w:num w:numId="34">
    <w:abstractNumId w:val="35"/>
  </w:num>
  <w:num w:numId="35">
    <w:abstractNumId w:val="26"/>
  </w:num>
  <w:num w:numId="36">
    <w:abstractNumId w:val="10"/>
  </w:num>
  <w:num w:numId="37">
    <w:abstractNumId w:val="38"/>
  </w:num>
  <w:num w:numId="38">
    <w:abstractNumId w:val="15"/>
  </w:num>
  <w:num w:numId="39">
    <w:abstractNumId w:val="28"/>
  </w:num>
  <w:num w:numId="40">
    <w:abstractNumId w:val="46"/>
  </w:num>
  <w:num w:numId="41">
    <w:abstractNumId w:val="21"/>
  </w:num>
  <w:num w:numId="42">
    <w:abstractNumId w:val="3"/>
  </w:num>
  <w:num w:numId="43">
    <w:abstractNumId w:val="23"/>
  </w:num>
  <w:num w:numId="44">
    <w:abstractNumId w:val="36"/>
  </w:num>
  <w:num w:numId="45">
    <w:abstractNumId w:val="30"/>
  </w:num>
  <w:num w:numId="46">
    <w:abstractNumId w:val="41"/>
  </w:num>
  <w:num w:numId="47">
    <w:abstractNumId w:val="11"/>
  </w:num>
  <w:num w:numId="4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A5FBB"/>
    <w:rsid w:val="00003B69"/>
    <w:rsid w:val="00021069"/>
    <w:rsid w:val="00022609"/>
    <w:rsid w:val="00040AC3"/>
    <w:rsid w:val="00041C94"/>
    <w:rsid w:val="00057F53"/>
    <w:rsid w:val="00066755"/>
    <w:rsid w:val="000731F0"/>
    <w:rsid w:val="00076ED6"/>
    <w:rsid w:val="00082BF8"/>
    <w:rsid w:val="000A4005"/>
    <w:rsid w:val="000A71CF"/>
    <w:rsid w:val="000B4AB4"/>
    <w:rsid w:val="000B4B35"/>
    <w:rsid w:val="000C4C03"/>
    <w:rsid w:val="000C522F"/>
    <w:rsid w:val="000C5600"/>
    <w:rsid w:val="000C635E"/>
    <w:rsid w:val="000E7DD9"/>
    <w:rsid w:val="00100071"/>
    <w:rsid w:val="00103649"/>
    <w:rsid w:val="0010479C"/>
    <w:rsid w:val="001050A5"/>
    <w:rsid w:val="00107C38"/>
    <w:rsid w:val="00111638"/>
    <w:rsid w:val="001223A0"/>
    <w:rsid w:val="00122BE6"/>
    <w:rsid w:val="00134DCE"/>
    <w:rsid w:val="00135A49"/>
    <w:rsid w:val="001416A2"/>
    <w:rsid w:val="001437BA"/>
    <w:rsid w:val="001464C7"/>
    <w:rsid w:val="00151774"/>
    <w:rsid w:val="00154B49"/>
    <w:rsid w:val="00162B3C"/>
    <w:rsid w:val="001728F1"/>
    <w:rsid w:val="0018315F"/>
    <w:rsid w:val="00192B72"/>
    <w:rsid w:val="001938C7"/>
    <w:rsid w:val="001B47B1"/>
    <w:rsid w:val="001B7824"/>
    <w:rsid w:val="001C6975"/>
    <w:rsid w:val="001D2004"/>
    <w:rsid w:val="001D3390"/>
    <w:rsid w:val="001D5AAD"/>
    <w:rsid w:val="001E0D14"/>
    <w:rsid w:val="00202AB0"/>
    <w:rsid w:val="00217B4B"/>
    <w:rsid w:val="002272A0"/>
    <w:rsid w:val="00253142"/>
    <w:rsid w:val="00255005"/>
    <w:rsid w:val="00256257"/>
    <w:rsid w:val="002571A9"/>
    <w:rsid w:val="0026285E"/>
    <w:rsid w:val="00284662"/>
    <w:rsid w:val="0029680A"/>
    <w:rsid w:val="00296C2F"/>
    <w:rsid w:val="00296F67"/>
    <w:rsid w:val="002A3300"/>
    <w:rsid w:val="002A7B04"/>
    <w:rsid w:val="002C55C7"/>
    <w:rsid w:val="002C6C84"/>
    <w:rsid w:val="002D6E47"/>
    <w:rsid w:val="002E5A3A"/>
    <w:rsid w:val="002F532D"/>
    <w:rsid w:val="002F7A23"/>
    <w:rsid w:val="002F7E9D"/>
    <w:rsid w:val="00305258"/>
    <w:rsid w:val="0030775F"/>
    <w:rsid w:val="00310096"/>
    <w:rsid w:val="003149C8"/>
    <w:rsid w:val="00317386"/>
    <w:rsid w:val="003178DB"/>
    <w:rsid w:val="00332E95"/>
    <w:rsid w:val="00340060"/>
    <w:rsid w:val="00346E1B"/>
    <w:rsid w:val="003502E2"/>
    <w:rsid w:val="00355833"/>
    <w:rsid w:val="00356358"/>
    <w:rsid w:val="003605E3"/>
    <w:rsid w:val="0036771B"/>
    <w:rsid w:val="003804F2"/>
    <w:rsid w:val="00395F49"/>
    <w:rsid w:val="003A59C2"/>
    <w:rsid w:val="003A7B37"/>
    <w:rsid w:val="003B076D"/>
    <w:rsid w:val="003B07A2"/>
    <w:rsid w:val="003B13E0"/>
    <w:rsid w:val="003C3CE9"/>
    <w:rsid w:val="003D1FE5"/>
    <w:rsid w:val="003E0F81"/>
    <w:rsid w:val="003F2EC0"/>
    <w:rsid w:val="003F5673"/>
    <w:rsid w:val="00410470"/>
    <w:rsid w:val="00414A93"/>
    <w:rsid w:val="00416F03"/>
    <w:rsid w:val="004175E7"/>
    <w:rsid w:val="00431315"/>
    <w:rsid w:val="00433B19"/>
    <w:rsid w:val="00435EBE"/>
    <w:rsid w:val="00437257"/>
    <w:rsid w:val="00442AE9"/>
    <w:rsid w:val="00450FB7"/>
    <w:rsid w:val="0046190D"/>
    <w:rsid w:val="004619E0"/>
    <w:rsid w:val="0046603B"/>
    <w:rsid w:val="00472131"/>
    <w:rsid w:val="004771DE"/>
    <w:rsid w:val="00481CC7"/>
    <w:rsid w:val="00485636"/>
    <w:rsid w:val="00485DCE"/>
    <w:rsid w:val="00491CF5"/>
    <w:rsid w:val="0049523D"/>
    <w:rsid w:val="004A4F14"/>
    <w:rsid w:val="004A5593"/>
    <w:rsid w:val="004B6D19"/>
    <w:rsid w:val="004C271D"/>
    <w:rsid w:val="004C3B3B"/>
    <w:rsid w:val="004C53F6"/>
    <w:rsid w:val="004E28DF"/>
    <w:rsid w:val="004E2AC8"/>
    <w:rsid w:val="004E4E2F"/>
    <w:rsid w:val="004F470A"/>
    <w:rsid w:val="004F5293"/>
    <w:rsid w:val="004F5BD3"/>
    <w:rsid w:val="00505EF6"/>
    <w:rsid w:val="005075DD"/>
    <w:rsid w:val="005102C0"/>
    <w:rsid w:val="00513FE8"/>
    <w:rsid w:val="005224F6"/>
    <w:rsid w:val="00522F66"/>
    <w:rsid w:val="00530AA7"/>
    <w:rsid w:val="00532050"/>
    <w:rsid w:val="005346EE"/>
    <w:rsid w:val="00543DDF"/>
    <w:rsid w:val="00546D13"/>
    <w:rsid w:val="00547EEB"/>
    <w:rsid w:val="00552788"/>
    <w:rsid w:val="00553E53"/>
    <w:rsid w:val="00556A7C"/>
    <w:rsid w:val="00565FB7"/>
    <w:rsid w:val="00566434"/>
    <w:rsid w:val="00570126"/>
    <w:rsid w:val="00574696"/>
    <w:rsid w:val="005A7993"/>
    <w:rsid w:val="005B1448"/>
    <w:rsid w:val="005B399F"/>
    <w:rsid w:val="005B66A8"/>
    <w:rsid w:val="005B7C22"/>
    <w:rsid w:val="005D546F"/>
    <w:rsid w:val="00605298"/>
    <w:rsid w:val="00611A4E"/>
    <w:rsid w:val="00616BD2"/>
    <w:rsid w:val="00622372"/>
    <w:rsid w:val="0063474F"/>
    <w:rsid w:val="006356F6"/>
    <w:rsid w:val="00642BF5"/>
    <w:rsid w:val="00642D5D"/>
    <w:rsid w:val="00646CA6"/>
    <w:rsid w:val="00651BC4"/>
    <w:rsid w:val="006605B6"/>
    <w:rsid w:val="006630A1"/>
    <w:rsid w:val="00676F09"/>
    <w:rsid w:val="00681AC5"/>
    <w:rsid w:val="00691CE9"/>
    <w:rsid w:val="006932C5"/>
    <w:rsid w:val="006A380F"/>
    <w:rsid w:val="006A3DF2"/>
    <w:rsid w:val="006B078D"/>
    <w:rsid w:val="006B20C7"/>
    <w:rsid w:val="006B66DA"/>
    <w:rsid w:val="006C2CDB"/>
    <w:rsid w:val="006D4843"/>
    <w:rsid w:val="006F086F"/>
    <w:rsid w:val="006F4AD7"/>
    <w:rsid w:val="00704961"/>
    <w:rsid w:val="007056D7"/>
    <w:rsid w:val="007062D9"/>
    <w:rsid w:val="00706746"/>
    <w:rsid w:val="0071288F"/>
    <w:rsid w:val="00717810"/>
    <w:rsid w:val="00717A3F"/>
    <w:rsid w:val="00722DBC"/>
    <w:rsid w:val="00730B7D"/>
    <w:rsid w:val="0073295C"/>
    <w:rsid w:val="00735722"/>
    <w:rsid w:val="007473FB"/>
    <w:rsid w:val="0075027B"/>
    <w:rsid w:val="00774AE8"/>
    <w:rsid w:val="0077711B"/>
    <w:rsid w:val="00784118"/>
    <w:rsid w:val="007867A3"/>
    <w:rsid w:val="00786AA3"/>
    <w:rsid w:val="00786E0A"/>
    <w:rsid w:val="007933D5"/>
    <w:rsid w:val="00795741"/>
    <w:rsid w:val="00796A01"/>
    <w:rsid w:val="00797BFE"/>
    <w:rsid w:val="007A5FBB"/>
    <w:rsid w:val="007C2224"/>
    <w:rsid w:val="007D0126"/>
    <w:rsid w:val="007D769A"/>
    <w:rsid w:val="007F519D"/>
    <w:rsid w:val="00803115"/>
    <w:rsid w:val="00803F96"/>
    <w:rsid w:val="00807D21"/>
    <w:rsid w:val="00815BD9"/>
    <w:rsid w:val="008247EF"/>
    <w:rsid w:val="0083101D"/>
    <w:rsid w:val="008357B7"/>
    <w:rsid w:val="00835BBA"/>
    <w:rsid w:val="0084024C"/>
    <w:rsid w:val="00840C5A"/>
    <w:rsid w:val="00844409"/>
    <w:rsid w:val="00853CC1"/>
    <w:rsid w:val="0086079B"/>
    <w:rsid w:val="00862FF5"/>
    <w:rsid w:val="00863284"/>
    <w:rsid w:val="00864A5B"/>
    <w:rsid w:val="0088063B"/>
    <w:rsid w:val="00880E4C"/>
    <w:rsid w:val="008970B5"/>
    <w:rsid w:val="008A0452"/>
    <w:rsid w:val="008C6B63"/>
    <w:rsid w:val="008C6F65"/>
    <w:rsid w:val="008C7990"/>
    <w:rsid w:val="008C7D5A"/>
    <w:rsid w:val="008D5B52"/>
    <w:rsid w:val="008E516C"/>
    <w:rsid w:val="008E7FD3"/>
    <w:rsid w:val="008F2355"/>
    <w:rsid w:val="008F4C01"/>
    <w:rsid w:val="008F5553"/>
    <w:rsid w:val="008F5768"/>
    <w:rsid w:val="008F6B8F"/>
    <w:rsid w:val="008F7EC9"/>
    <w:rsid w:val="009046D5"/>
    <w:rsid w:val="0090513E"/>
    <w:rsid w:val="009061B5"/>
    <w:rsid w:val="00913EDD"/>
    <w:rsid w:val="00934CB2"/>
    <w:rsid w:val="0094493D"/>
    <w:rsid w:val="009460BE"/>
    <w:rsid w:val="00946147"/>
    <w:rsid w:val="00954F10"/>
    <w:rsid w:val="00961C8E"/>
    <w:rsid w:val="00981149"/>
    <w:rsid w:val="00996B81"/>
    <w:rsid w:val="009A4C47"/>
    <w:rsid w:val="009A7971"/>
    <w:rsid w:val="009C1282"/>
    <w:rsid w:val="009D38A4"/>
    <w:rsid w:val="009D75DF"/>
    <w:rsid w:val="009E5A50"/>
    <w:rsid w:val="009F3C65"/>
    <w:rsid w:val="009F3DB7"/>
    <w:rsid w:val="009F479F"/>
    <w:rsid w:val="00A07694"/>
    <w:rsid w:val="00A21E50"/>
    <w:rsid w:val="00A3734C"/>
    <w:rsid w:val="00A42419"/>
    <w:rsid w:val="00A50C8D"/>
    <w:rsid w:val="00A516FD"/>
    <w:rsid w:val="00A51B1B"/>
    <w:rsid w:val="00A51CD6"/>
    <w:rsid w:val="00A55119"/>
    <w:rsid w:val="00A57DD5"/>
    <w:rsid w:val="00A620AE"/>
    <w:rsid w:val="00A62110"/>
    <w:rsid w:val="00A622A4"/>
    <w:rsid w:val="00A62D20"/>
    <w:rsid w:val="00A6404D"/>
    <w:rsid w:val="00A7508E"/>
    <w:rsid w:val="00A80BD0"/>
    <w:rsid w:val="00A8120D"/>
    <w:rsid w:val="00A82B78"/>
    <w:rsid w:val="00A82FC0"/>
    <w:rsid w:val="00A86113"/>
    <w:rsid w:val="00A91764"/>
    <w:rsid w:val="00A9224F"/>
    <w:rsid w:val="00AA0FB3"/>
    <w:rsid w:val="00AA1BDD"/>
    <w:rsid w:val="00AA5E73"/>
    <w:rsid w:val="00AA6209"/>
    <w:rsid w:val="00AC1001"/>
    <w:rsid w:val="00AC16C8"/>
    <w:rsid w:val="00AC1943"/>
    <w:rsid w:val="00AE1369"/>
    <w:rsid w:val="00AE3C88"/>
    <w:rsid w:val="00AE3DDF"/>
    <w:rsid w:val="00AE6B3B"/>
    <w:rsid w:val="00AF45A5"/>
    <w:rsid w:val="00B124A3"/>
    <w:rsid w:val="00B175B9"/>
    <w:rsid w:val="00B255C1"/>
    <w:rsid w:val="00B30BB0"/>
    <w:rsid w:val="00B54865"/>
    <w:rsid w:val="00B5538D"/>
    <w:rsid w:val="00B66055"/>
    <w:rsid w:val="00B76988"/>
    <w:rsid w:val="00B849BC"/>
    <w:rsid w:val="00BA1E32"/>
    <w:rsid w:val="00BA4F20"/>
    <w:rsid w:val="00BE3647"/>
    <w:rsid w:val="00BE76A5"/>
    <w:rsid w:val="00BF2389"/>
    <w:rsid w:val="00BF2B5B"/>
    <w:rsid w:val="00C071DC"/>
    <w:rsid w:val="00C17BD1"/>
    <w:rsid w:val="00C230BB"/>
    <w:rsid w:val="00C41CCD"/>
    <w:rsid w:val="00C427DC"/>
    <w:rsid w:val="00C440CF"/>
    <w:rsid w:val="00C52F8B"/>
    <w:rsid w:val="00C532AC"/>
    <w:rsid w:val="00C62CEE"/>
    <w:rsid w:val="00C6612C"/>
    <w:rsid w:val="00C74068"/>
    <w:rsid w:val="00C7511C"/>
    <w:rsid w:val="00C76A83"/>
    <w:rsid w:val="00C773C5"/>
    <w:rsid w:val="00C9362E"/>
    <w:rsid w:val="00CA5A54"/>
    <w:rsid w:val="00CB0117"/>
    <w:rsid w:val="00CB57E6"/>
    <w:rsid w:val="00CB7245"/>
    <w:rsid w:val="00CC28CD"/>
    <w:rsid w:val="00CC5F0D"/>
    <w:rsid w:val="00CC72E9"/>
    <w:rsid w:val="00CF29D9"/>
    <w:rsid w:val="00CF47EE"/>
    <w:rsid w:val="00CF7934"/>
    <w:rsid w:val="00D01238"/>
    <w:rsid w:val="00D02296"/>
    <w:rsid w:val="00D114D3"/>
    <w:rsid w:val="00D1189B"/>
    <w:rsid w:val="00D25EDB"/>
    <w:rsid w:val="00D40169"/>
    <w:rsid w:val="00D50802"/>
    <w:rsid w:val="00D52B0C"/>
    <w:rsid w:val="00D55100"/>
    <w:rsid w:val="00D63F06"/>
    <w:rsid w:val="00D84EF6"/>
    <w:rsid w:val="00D87C49"/>
    <w:rsid w:val="00D94AE9"/>
    <w:rsid w:val="00DA228C"/>
    <w:rsid w:val="00DA4C72"/>
    <w:rsid w:val="00DB641F"/>
    <w:rsid w:val="00DC0245"/>
    <w:rsid w:val="00DC526B"/>
    <w:rsid w:val="00DE23FE"/>
    <w:rsid w:val="00DE6386"/>
    <w:rsid w:val="00DF0BF7"/>
    <w:rsid w:val="00E04DD7"/>
    <w:rsid w:val="00E06223"/>
    <w:rsid w:val="00E126DE"/>
    <w:rsid w:val="00E207FF"/>
    <w:rsid w:val="00E22FBA"/>
    <w:rsid w:val="00E308FB"/>
    <w:rsid w:val="00E30AD5"/>
    <w:rsid w:val="00E37D15"/>
    <w:rsid w:val="00E4485D"/>
    <w:rsid w:val="00E5536B"/>
    <w:rsid w:val="00E5646A"/>
    <w:rsid w:val="00E56D94"/>
    <w:rsid w:val="00E57EA1"/>
    <w:rsid w:val="00E63DC0"/>
    <w:rsid w:val="00E80DB2"/>
    <w:rsid w:val="00EA01FE"/>
    <w:rsid w:val="00EB3264"/>
    <w:rsid w:val="00EB38DF"/>
    <w:rsid w:val="00EB6EFF"/>
    <w:rsid w:val="00EC4492"/>
    <w:rsid w:val="00EC6DBB"/>
    <w:rsid w:val="00ED13A0"/>
    <w:rsid w:val="00ED3895"/>
    <w:rsid w:val="00ED40C8"/>
    <w:rsid w:val="00EE4FCB"/>
    <w:rsid w:val="00EE5113"/>
    <w:rsid w:val="00EF117F"/>
    <w:rsid w:val="00EF285B"/>
    <w:rsid w:val="00EF67E2"/>
    <w:rsid w:val="00F021EF"/>
    <w:rsid w:val="00F03636"/>
    <w:rsid w:val="00F07442"/>
    <w:rsid w:val="00F1323A"/>
    <w:rsid w:val="00F22251"/>
    <w:rsid w:val="00F23E5D"/>
    <w:rsid w:val="00F34928"/>
    <w:rsid w:val="00F36AE8"/>
    <w:rsid w:val="00F404E9"/>
    <w:rsid w:val="00F41578"/>
    <w:rsid w:val="00F427F6"/>
    <w:rsid w:val="00F44675"/>
    <w:rsid w:val="00F614A1"/>
    <w:rsid w:val="00F629F0"/>
    <w:rsid w:val="00F6517E"/>
    <w:rsid w:val="00F8019F"/>
    <w:rsid w:val="00F94E85"/>
    <w:rsid w:val="00FA1AB7"/>
    <w:rsid w:val="00FB1917"/>
    <w:rsid w:val="00FC255E"/>
    <w:rsid w:val="00FC6468"/>
    <w:rsid w:val="00FD1686"/>
    <w:rsid w:val="00FD4E38"/>
    <w:rsid w:val="00FE6E9C"/>
    <w:rsid w:val="00FE7E0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B2B5B"/>
  <w15:docId w15:val="{004357EF-E9D4-4842-9DFA-084A585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9C"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en-GB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uiPriority w:val="99"/>
    <w:rsid w:val="007062D9"/>
    <w:pPr>
      <w:spacing w:line="240" w:lineRule="exact"/>
    </w:pPr>
    <w:rPr>
      <w:vertAlign w:val="superscript"/>
    </w:rPr>
  </w:style>
  <w:style w:type="paragraph" w:customStyle="1" w:styleId="Default">
    <w:name w:val="Default"/>
    <w:rsid w:val="007062D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62D9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062D9"/>
    <w:rPr>
      <w:rFonts w:ascii="Times New Roman" w:eastAsia="Times New Roman" w:hAnsi="Times New Roman" w:cs="Times New Roman"/>
      <w:b/>
      <w:sz w:val="48"/>
      <w:szCs w:val="20"/>
    </w:rPr>
  </w:style>
  <w:style w:type="paragraph" w:styleId="NoSpacing">
    <w:name w:val="No Spacing"/>
    <w:uiPriority w:val="1"/>
    <w:qFormat/>
    <w:rsid w:val="009046D5"/>
    <w:pPr>
      <w:spacing w:after="0" w:line="240" w:lineRule="auto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6E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0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9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5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rks-gov.net/partesh/sr/category/konkursi-i-objavljivanj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facebook.com/CPOPar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erforprofesionaleducation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F9D4-F67E-4A3B-8308-8E78EA08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6</cp:revision>
  <cp:lastPrinted>2021-09-29T11:43:00Z</cp:lastPrinted>
  <dcterms:created xsi:type="dcterms:W3CDTF">2022-03-11T11:51:00Z</dcterms:created>
  <dcterms:modified xsi:type="dcterms:W3CDTF">2022-03-15T13:24:00Z</dcterms:modified>
</cp:coreProperties>
</file>